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9C3" w:rsidRPr="002309C3" w:rsidRDefault="00283474" w:rsidP="002309C3">
      <w:pPr>
        <w:jc w:val="center"/>
        <w:rPr>
          <w:rFonts w:ascii="Arial" w:hAnsi="Arial"/>
        </w:rPr>
      </w:pPr>
      <w:r>
        <w:rPr>
          <w:rFonts w:ascii="Arial" w:hAnsi="Arial"/>
        </w:rPr>
        <w:t>G</w:t>
      </w:r>
      <w:r w:rsidR="002309C3" w:rsidRPr="002309C3">
        <w:rPr>
          <w:rFonts w:ascii="Arial" w:hAnsi="Arial"/>
        </w:rPr>
        <w:t>eneral Aviation Joint Steering Committee</w:t>
      </w:r>
    </w:p>
    <w:p w:rsidR="00283474" w:rsidRDefault="00283474" w:rsidP="00283474">
      <w:pPr>
        <w:rPr>
          <w:rFonts w:ascii="Arial" w:hAnsi="Arial"/>
        </w:rPr>
      </w:pPr>
    </w:p>
    <w:p w:rsidR="002309C3" w:rsidRDefault="008559E3" w:rsidP="008559E3">
      <w:pPr>
        <w:ind w:firstLine="720"/>
        <w:rPr>
          <w:rFonts w:ascii="Arial" w:hAnsi="Arial"/>
          <w:b/>
          <w:u w:val="single"/>
        </w:rPr>
      </w:pPr>
      <w:r w:rsidRPr="008559E3">
        <w:rPr>
          <w:rFonts w:ascii="Arial" w:hAnsi="Arial"/>
          <w:b/>
        </w:rPr>
        <w:t xml:space="preserve">                                 </w:t>
      </w:r>
      <w:r w:rsidR="002309C3" w:rsidRPr="002309C3">
        <w:rPr>
          <w:rFonts w:ascii="Arial" w:hAnsi="Arial"/>
          <w:b/>
          <w:u w:val="single"/>
        </w:rPr>
        <w:t>Outreach Guidance Document</w:t>
      </w:r>
    </w:p>
    <w:p w:rsidR="004B6A68" w:rsidRPr="0030744C" w:rsidRDefault="004B6A68" w:rsidP="004B6A68">
      <w:pPr>
        <w:ind w:left="2880" w:firstLine="720"/>
        <w:rPr>
          <w:rFonts w:ascii="Arial" w:hAnsi="Arial" w:cs="Arial"/>
          <w:b/>
        </w:rPr>
      </w:pPr>
      <w:bookmarkStart w:id="0" w:name="_GoBack"/>
      <w:r w:rsidRPr="0030744C">
        <w:rPr>
          <w:rFonts w:ascii="Arial" w:hAnsi="Arial" w:cs="Arial"/>
          <w:b/>
        </w:rPr>
        <w:t>Maintenance Placards</w:t>
      </w:r>
    </w:p>
    <w:p w:rsidR="0030744C" w:rsidRPr="0030744C" w:rsidRDefault="0030744C" w:rsidP="004B6A68">
      <w:pPr>
        <w:ind w:left="2880" w:firstLine="720"/>
        <w:rPr>
          <w:rFonts w:ascii="Arial" w:hAnsi="Arial"/>
          <w:b/>
        </w:rPr>
      </w:pPr>
      <w:r w:rsidRPr="0030744C">
        <w:rPr>
          <w:rFonts w:ascii="Arial" w:hAnsi="Arial"/>
          <w:b/>
        </w:rPr>
        <w:t>2017/5-24-107 (I) PP</w:t>
      </w:r>
    </w:p>
    <w:bookmarkEnd w:id="0"/>
    <w:p w:rsidR="002309C3" w:rsidRDefault="002309C3">
      <w:pPr>
        <w:rPr>
          <w:rFonts w:ascii="Arial" w:hAnsi="Arial"/>
        </w:rPr>
      </w:pPr>
    </w:p>
    <w:p w:rsidR="002309C3" w:rsidRPr="00804107" w:rsidRDefault="002309C3">
      <w:pPr>
        <w:rPr>
          <w:rFonts w:ascii="Arial" w:hAnsi="Arial"/>
        </w:rPr>
      </w:pPr>
      <w:r w:rsidRPr="00804107">
        <w:rPr>
          <w:rFonts w:ascii="Arial" w:hAnsi="Arial"/>
        </w:rPr>
        <w:t>This outreach guidance is provided to all FAA and aviation industry groups that are participating in outreach efforts sponsored by the General Aviation Joint Steering Committee (GAJSC).  It is important that all outreach on a given topic is coordinated and is free of conflicts.</w:t>
      </w:r>
      <w:r w:rsidR="00283474" w:rsidRPr="00804107">
        <w:rPr>
          <w:rFonts w:ascii="Arial" w:hAnsi="Arial"/>
        </w:rPr>
        <w:t xml:space="preserve">  Therefore, all outreach products should be in alignment with the outline and concepts listed below for this topic.</w:t>
      </w:r>
    </w:p>
    <w:p w:rsidR="002309C3" w:rsidRDefault="002309C3">
      <w:pPr>
        <w:rPr>
          <w:rFonts w:ascii="Arial" w:hAnsi="Arial"/>
        </w:rPr>
      </w:pPr>
    </w:p>
    <w:p w:rsidR="0062332E" w:rsidRDefault="0062332E" w:rsidP="00592FD7">
      <w:pPr>
        <w:spacing w:after="120"/>
        <w:rPr>
          <w:rFonts w:ascii="Arial" w:hAnsi="Arial" w:cs="Arial"/>
          <w:b/>
        </w:rPr>
      </w:pPr>
      <w:r w:rsidRPr="0062332E">
        <w:rPr>
          <w:rFonts w:ascii="Arial" w:hAnsi="Arial" w:cs="Arial"/>
          <w:b/>
          <w:u w:val="single"/>
        </w:rPr>
        <w:t>Outreach Month</w:t>
      </w:r>
      <w:r>
        <w:rPr>
          <w:rFonts w:ascii="Arial" w:hAnsi="Arial" w:cs="Arial"/>
          <w:b/>
        </w:rPr>
        <w:t xml:space="preserve">: </w:t>
      </w:r>
      <w:r w:rsidR="004534BD">
        <w:rPr>
          <w:rFonts w:ascii="Arial" w:hAnsi="Arial" w:cs="Arial"/>
          <w:b/>
        </w:rPr>
        <w:t xml:space="preserve"> </w:t>
      </w:r>
      <w:r w:rsidR="00944C0A">
        <w:rPr>
          <w:rFonts w:ascii="Arial" w:hAnsi="Arial" w:cs="Arial"/>
          <w:b/>
        </w:rPr>
        <w:t>February 2018</w:t>
      </w:r>
    </w:p>
    <w:p w:rsidR="0062332E" w:rsidRPr="00804107" w:rsidRDefault="0062332E" w:rsidP="00592FD7">
      <w:pPr>
        <w:spacing w:after="120"/>
        <w:rPr>
          <w:rFonts w:ascii="Arial" w:hAnsi="Arial" w:cs="Arial"/>
          <w:b/>
          <w:sz w:val="16"/>
          <w:szCs w:val="16"/>
        </w:rPr>
      </w:pPr>
    </w:p>
    <w:p w:rsidR="00592FD7" w:rsidRPr="00E810EF" w:rsidRDefault="0062332E" w:rsidP="00E810EF">
      <w:pPr>
        <w:rPr>
          <w:rFonts w:ascii="Calibri" w:eastAsia="Times New Roman" w:hAnsi="Calibri" w:cs="Calibri"/>
          <w:color w:val="000000"/>
        </w:rPr>
      </w:pPr>
      <w:r w:rsidRPr="0062332E">
        <w:rPr>
          <w:rFonts w:ascii="Arial" w:hAnsi="Arial" w:cs="Arial"/>
          <w:b/>
          <w:u w:val="single"/>
        </w:rPr>
        <w:t>Topic</w:t>
      </w:r>
      <w:r>
        <w:rPr>
          <w:rFonts w:ascii="Arial" w:hAnsi="Arial" w:cs="Arial"/>
          <w:b/>
        </w:rPr>
        <w:t>:</w:t>
      </w:r>
      <w:r w:rsidR="00592FD7" w:rsidRPr="00592FD7">
        <w:rPr>
          <w:rFonts w:ascii="Arial" w:hAnsi="Arial" w:cs="Arial"/>
          <w:b/>
        </w:rPr>
        <w:t xml:space="preserve"> </w:t>
      </w:r>
      <w:r w:rsidR="00AF2AE2">
        <w:rPr>
          <w:rFonts w:ascii="Arial" w:hAnsi="Arial" w:cs="Arial"/>
          <w:b/>
        </w:rPr>
        <w:t>Maintenance Placards</w:t>
      </w:r>
      <w:r w:rsidR="00592FD7" w:rsidRPr="00592FD7">
        <w:rPr>
          <w:rFonts w:ascii="Arial" w:hAnsi="Arial" w:cs="Arial"/>
          <w:b/>
        </w:rPr>
        <w:t xml:space="preserve"> </w:t>
      </w:r>
      <w:r w:rsidR="00592FD7" w:rsidRPr="00E810EF">
        <w:rPr>
          <w:rFonts w:ascii="Arial" w:hAnsi="Arial" w:cs="Arial"/>
          <w:b/>
        </w:rPr>
        <w:t>(</w:t>
      </w:r>
      <w:r w:rsidR="00E810EF" w:rsidRPr="00E810EF">
        <w:rPr>
          <w:rFonts w:ascii="Arial" w:eastAsia="Times New Roman" w:hAnsi="Arial" w:cs="Arial"/>
          <w:b/>
          <w:color w:val="000000"/>
        </w:rPr>
        <w:t>GAJSC SCF-SE-</w:t>
      </w:r>
      <w:r w:rsidR="00AF2AE2">
        <w:rPr>
          <w:rFonts w:ascii="Arial" w:eastAsia="Times New Roman" w:hAnsi="Arial" w:cs="Arial"/>
          <w:b/>
          <w:color w:val="000000"/>
        </w:rPr>
        <w:t>45</w:t>
      </w:r>
      <w:r w:rsidR="00592FD7" w:rsidRPr="00E810EF">
        <w:rPr>
          <w:rFonts w:ascii="Arial" w:hAnsi="Arial" w:cs="Arial"/>
          <w:b/>
        </w:rPr>
        <w:t>)</w:t>
      </w:r>
      <w:r w:rsidR="00592FD7" w:rsidRPr="00592FD7">
        <w:rPr>
          <w:rFonts w:ascii="Arial" w:hAnsi="Arial" w:cs="Arial"/>
          <w:b/>
        </w:rPr>
        <w:t xml:space="preserve"> </w:t>
      </w:r>
    </w:p>
    <w:p w:rsidR="00B27214" w:rsidRPr="00B27214" w:rsidRDefault="00B27214" w:rsidP="00B27214">
      <w:pPr>
        <w:rPr>
          <w:rFonts w:ascii="Arial" w:hAnsi="Arial" w:cs="Arial"/>
          <w:b/>
        </w:rPr>
      </w:pPr>
      <w:r w:rsidRPr="00B27214">
        <w:rPr>
          <w:rFonts w:ascii="Arial" w:hAnsi="Arial" w:cs="Arial"/>
        </w:rPr>
        <w:t xml:space="preserve">The FAA and industry will conduct a public education campaign </w:t>
      </w:r>
      <w:r w:rsidR="00793BFD">
        <w:rPr>
          <w:rFonts w:ascii="Arial" w:hAnsi="Arial" w:cs="Arial"/>
        </w:rPr>
        <w:t xml:space="preserve">on the capabilities and benefits associated with </w:t>
      </w:r>
      <w:r w:rsidR="007130B2">
        <w:rPr>
          <w:rFonts w:ascii="Arial" w:hAnsi="Arial" w:cs="Arial"/>
        </w:rPr>
        <w:t>Lock out/Tag out procedures and Maintenance Placards.</w:t>
      </w:r>
    </w:p>
    <w:p w:rsidR="00BE44C8" w:rsidRDefault="00BE44C8" w:rsidP="00BE44C8">
      <w:pPr>
        <w:rPr>
          <w:rFonts w:ascii="Arial" w:hAnsi="Arial" w:cs="Arial"/>
          <w:b/>
        </w:rPr>
      </w:pPr>
    </w:p>
    <w:p w:rsidR="00B27214" w:rsidRDefault="00B27214" w:rsidP="00BE44C8">
      <w:pPr>
        <w:rPr>
          <w:rFonts w:ascii="Arial" w:hAnsi="Arial" w:cs="Arial"/>
          <w:b/>
          <w:u w:val="single"/>
        </w:rPr>
      </w:pPr>
    </w:p>
    <w:p w:rsidR="0062332E" w:rsidRPr="00B27214" w:rsidRDefault="00F15A07" w:rsidP="00BE44C8">
      <w:pPr>
        <w:rPr>
          <w:rFonts w:ascii="Arial" w:hAnsi="Arial" w:cs="Arial"/>
          <w:b/>
        </w:rPr>
      </w:pPr>
      <w:r w:rsidRPr="00BE44C8">
        <w:rPr>
          <w:rFonts w:ascii="Arial" w:hAnsi="Arial" w:cs="Arial"/>
          <w:b/>
          <w:u w:val="single"/>
        </w:rPr>
        <w:t>Background</w:t>
      </w:r>
      <w:r>
        <w:rPr>
          <w:rFonts w:ascii="Arial" w:hAnsi="Arial" w:cs="Arial"/>
          <w:b/>
        </w:rPr>
        <w:t xml:space="preserve">:  </w:t>
      </w:r>
    </w:p>
    <w:p w:rsidR="00BE44C8" w:rsidRDefault="00BE44C8">
      <w:pPr>
        <w:rPr>
          <w:rFonts w:ascii="Arial" w:hAnsi="Arial"/>
          <w:b/>
          <w:u w:val="single"/>
        </w:rPr>
      </w:pPr>
    </w:p>
    <w:p w:rsidR="00B27214" w:rsidRDefault="00AF61D6">
      <w:pPr>
        <w:rPr>
          <w:rFonts w:ascii="Arial" w:hAnsi="Arial" w:cs="Arial"/>
        </w:rPr>
      </w:pPr>
      <w:r>
        <w:rPr>
          <w:rFonts w:ascii="Arial" w:hAnsi="Arial" w:cs="Arial"/>
        </w:rPr>
        <w:t xml:space="preserve">The GAJSC has </w:t>
      </w:r>
      <w:r w:rsidR="00AF2AE2">
        <w:rPr>
          <w:rFonts w:ascii="Arial" w:hAnsi="Arial" w:cs="Arial"/>
        </w:rPr>
        <w:t xml:space="preserve">identified a number of fatal general aviation accidents that were caused by attempting flight in aircraft that were undergoing maintenance and not yet returned to service.  This safety enhancement suggests adopting lock out/tag out methodology to ensure pilots are aware of un-airworthy aircraft conditions.  </w:t>
      </w:r>
    </w:p>
    <w:p w:rsidR="00B27214" w:rsidRDefault="00B27214">
      <w:pPr>
        <w:rPr>
          <w:sz w:val="22"/>
          <w:szCs w:val="22"/>
        </w:rPr>
      </w:pPr>
    </w:p>
    <w:p w:rsidR="00283474" w:rsidRPr="0062332E" w:rsidRDefault="0062332E">
      <w:pPr>
        <w:rPr>
          <w:rFonts w:ascii="Arial" w:hAnsi="Arial"/>
          <w:b/>
          <w:u w:val="single"/>
        </w:rPr>
      </w:pPr>
      <w:r w:rsidRPr="0062332E">
        <w:rPr>
          <w:rFonts w:ascii="Arial" w:hAnsi="Arial"/>
          <w:b/>
          <w:u w:val="single"/>
        </w:rPr>
        <w:t>Teaching Points:</w:t>
      </w:r>
    </w:p>
    <w:p w:rsidR="0062332E" w:rsidRDefault="0062332E">
      <w:pPr>
        <w:rPr>
          <w:rFonts w:ascii="Arial" w:hAnsi="Arial"/>
        </w:rPr>
      </w:pPr>
    </w:p>
    <w:p w:rsidR="00592FD7" w:rsidRDefault="00BE44C8" w:rsidP="00592FD7">
      <w:pPr>
        <w:pStyle w:val="ListParagraph"/>
        <w:numPr>
          <w:ilvl w:val="0"/>
          <w:numId w:val="1"/>
        </w:numPr>
        <w:rPr>
          <w:rFonts w:ascii="Arial" w:hAnsi="Arial"/>
        </w:rPr>
      </w:pPr>
      <w:r>
        <w:rPr>
          <w:rFonts w:ascii="Arial" w:hAnsi="Arial"/>
        </w:rPr>
        <w:t xml:space="preserve">Discuss the </w:t>
      </w:r>
      <w:r w:rsidR="00735AAE">
        <w:rPr>
          <w:rFonts w:ascii="Arial" w:hAnsi="Arial"/>
        </w:rPr>
        <w:t xml:space="preserve">scope and </w:t>
      </w:r>
      <w:r>
        <w:rPr>
          <w:rFonts w:ascii="Arial" w:hAnsi="Arial"/>
        </w:rPr>
        <w:t xml:space="preserve">safety benefits of </w:t>
      </w:r>
      <w:r w:rsidR="007130B2">
        <w:rPr>
          <w:rFonts w:ascii="Arial" w:hAnsi="Arial"/>
        </w:rPr>
        <w:t>lock out/tag out procedures and Maintenance Placards</w:t>
      </w:r>
      <w:r w:rsidR="00AF61D6">
        <w:rPr>
          <w:rFonts w:ascii="Arial" w:hAnsi="Arial"/>
        </w:rPr>
        <w:t>.</w:t>
      </w:r>
    </w:p>
    <w:p w:rsidR="00BE44C8" w:rsidRDefault="001C44D1" w:rsidP="00BE44C8">
      <w:pPr>
        <w:pStyle w:val="ListParagraph"/>
        <w:numPr>
          <w:ilvl w:val="0"/>
          <w:numId w:val="1"/>
        </w:numPr>
        <w:rPr>
          <w:rFonts w:ascii="Arial" w:hAnsi="Arial"/>
        </w:rPr>
      </w:pPr>
      <w:r>
        <w:rPr>
          <w:rFonts w:ascii="Arial" w:hAnsi="Arial"/>
        </w:rPr>
        <w:t>Acquaint pilots with available resources</w:t>
      </w:r>
      <w:r w:rsidR="00BE44C8">
        <w:rPr>
          <w:rFonts w:ascii="Arial" w:hAnsi="Arial"/>
        </w:rPr>
        <w:t>.</w:t>
      </w:r>
    </w:p>
    <w:p w:rsidR="00BE2763" w:rsidRPr="00AF61D6" w:rsidRDefault="00BE2C55" w:rsidP="00BE2763">
      <w:pPr>
        <w:pStyle w:val="ListParagraph"/>
        <w:numPr>
          <w:ilvl w:val="0"/>
          <w:numId w:val="1"/>
        </w:numPr>
        <w:rPr>
          <w:rFonts w:ascii="Arial" w:hAnsi="Arial"/>
        </w:rPr>
      </w:pPr>
      <w:r w:rsidRPr="00AF61D6">
        <w:rPr>
          <w:rFonts w:ascii="Arial" w:hAnsi="Arial"/>
        </w:rPr>
        <w:t xml:space="preserve">Encourage pilots to </w:t>
      </w:r>
      <w:r w:rsidR="00793BFD">
        <w:rPr>
          <w:rFonts w:ascii="Arial" w:hAnsi="Arial"/>
        </w:rPr>
        <w:t xml:space="preserve">adopt </w:t>
      </w:r>
      <w:r w:rsidR="007130B2">
        <w:rPr>
          <w:rFonts w:ascii="Arial" w:hAnsi="Arial"/>
        </w:rPr>
        <w:t>more robust airworthiness status processes</w:t>
      </w:r>
      <w:r w:rsidR="00793BFD">
        <w:rPr>
          <w:rFonts w:ascii="Arial" w:hAnsi="Arial"/>
        </w:rPr>
        <w:t>.</w:t>
      </w:r>
    </w:p>
    <w:p w:rsidR="002C5EC8" w:rsidRDefault="002C5EC8" w:rsidP="00BE2763">
      <w:pPr>
        <w:rPr>
          <w:rFonts w:ascii="Arial" w:hAnsi="Arial"/>
          <w:b/>
          <w:u w:val="single"/>
        </w:rPr>
      </w:pPr>
    </w:p>
    <w:p w:rsidR="00804107" w:rsidRPr="0062332E" w:rsidRDefault="00BE2763" w:rsidP="00BE2763">
      <w:pPr>
        <w:rPr>
          <w:rFonts w:ascii="Arial" w:hAnsi="Arial"/>
          <w:b/>
          <w:u w:val="single"/>
        </w:rPr>
      </w:pPr>
      <w:r w:rsidRPr="0062332E">
        <w:rPr>
          <w:rFonts w:ascii="Arial" w:hAnsi="Arial"/>
          <w:b/>
          <w:u w:val="single"/>
        </w:rPr>
        <w:t>References:</w:t>
      </w:r>
    </w:p>
    <w:p w:rsidR="00BE2763" w:rsidRPr="00AF2AE2" w:rsidRDefault="00AF61D6" w:rsidP="00BE2763">
      <w:pPr>
        <w:pStyle w:val="ListParagraph"/>
        <w:numPr>
          <w:ilvl w:val="0"/>
          <w:numId w:val="3"/>
        </w:numPr>
        <w:rPr>
          <w:rFonts w:ascii="Arial" w:hAnsi="Arial"/>
        </w:rPr>
      </w:pPr>
      <w:r>
        <w:rPr>
          <w:rFonts w:ascii="Arial" w:hAnsi="Arial"/>
          <w:b/>
          <w:bCs/>
          <w:i/>
          <w:iCs/>
        </w:rPr>
        <w:t>General Aviation</w:t>
      </w:r>
      <w:r w:rsidR="00BE44C8">
        <w:rPr>
          <w:rFonts w:ascii="Arial" w:hAnsi="Arial"/>
          <w:b/>
          <w:bCs/>
          <w:i/>
          <w:iCs/>
        </w:rPr>
        <w:t xml:space="preserve"> Power Point</w:t>
      </w:r>
    </w:p>
    <w:p w:rsidR="00AF2AE2" w:rsidRDefault="00D36F7F" w:rsidP="00AF2AE2">
      <w:pPr>
        <w:pStyle w:val="ListParagraph"/>
        <w:ind w:firstLine="720"/>
        <w:rPr>
          <w:rFonts w:ascii="Arial" w:hAnsi="Arial" w:cs="Arial"/>
        </w:rPr>
      </w:pPr>
      <w:r>
        <w:rPr>
          <w:rFonts w:ascii="Arial" w:hAnsi="Arial" w:cs="Arial"/>
        </w:rPr>
        <w:t xml:space="preserve">Available on the National FAASTeam Share Point site under </w:t>
      </w:r>
      <w:hyperlink r:id="rId12" w:history="1">
        <w:r w:rsidRPr="002D35EA">
          <w:rPr>
            <w:rStyle w:val="Hyperlink"/>
            <w:rFonts w:ascii="Arial" w:hAnsi="Arial" w:cs="Arial"/>
          </w:rPr>
          <w:t xml:space="preserve">Approved </w:t>
        </w:r>
        <w:r w:rsidR="00AF2AE2" w:rsidRPr="002D35EA">
          <w:rPr>
            <w:rStyle w:val="Hyperlink"/>
            <w:rFonts w:ascii="Arial" w:hAnsi="Arial" w:cs="Arial"/>
          </w:rPr>
          <w:t>Resources</w:t>
        </w:r>
      </w:hyperlink>
    </w:p>
    <w:p w:rsidR="00AF2AE2" w:rsidRPr="00AF2AE2" w:rsidRDefault="00AF2AE2" w:rsidP="00AF2AE2">
      <w:pPr>
        <w:pStyle w:val="ListParagraph"/>
        <w:numPr>
          <w:ilvl w:val="0"/>
          <w:numId w:val="3"/>
        </w:numPr>
        <w:rPr>
          <w:rFonts w:ascii="Arial" w:hAnsi="Arial"/>
        </w:rPr>
      </w:pPr>
      <w:r>
        <w:rPr>
          <w:rFonts w:ascii="Arial" w:hAnsi="Arial"/>
          <w:b/>
          <w:bCs/>
          <w:i/>
          <w:iCs/>
        </w:rPr>
        <w:t>GAJSC System/Component Failure Report</w:t>
      </w:r>
    </w:p>
    <w:p w:rsidR="00AF2AE2" w:rsidRPr="00AF2AE2" w:rsidRDefault="00AF2AE2" w:rsidP="00AF2AE2">
      <w:pPr>
        <w:pStyle w:val="ListParagraph"/>
        <w:rPr>
          <w:rFonts w:ascii="Arial" w:hAnsi="Arial"/>
        </w:rPr>
      </w:pPr>
      <w:r>
        <w:rPr>
          <w:rFonts w:ascii="Arial" w:hAnsi="Arial"/>
          <w:b/>
          <w:bCs/>
          <w:i/>
          <w:iCs/>
        </w:rPr>
        <w:tab/>
      </w:r>
      <w:hyperlink r:id="rId13" w:history="1">
        <w:r w:rsidRPr="00AF2AE2">
          <w:rPr>
            <w:rStyle w:val="Hyperlink"/>
            <w:rFonts w:ascii="Arial" w:hAnsi="Arial"/>
            <w:bCs/>
            <w:iCs/>
          </w:rPr>
          <w:t>Available in the GAJSC Document Center</w:t>
        </w:r>
      </w:hyperlink>
    </w:p>
    <w:p w:rsidR="00AF2AE2" w:rsidRDefault="00AF2AE2" w:rsidP="00AF2AE2">
      <w:pPr>
        <w:pStyle w:val="ListParagraph"/>
        <w:ind w:firstLine="720"/>
        <w:rPr>
          <w:rFonts w:ascii="Arial" w:hAnsi="Arial" w:cs="Arial"/>
        </w:rPr>
      </w:pPr>
    </w:p>
    <w:p w:rsidR="00AF2AE2" w:rsidRDefault="00AF2AE2" w:rsidP="00F25A7F">
      <w:pPr>
        <w:pStyle w:val="ListParagraph"/>
        <w:ind w:firstLine="720"/>
        <w:rPr>
          <w:rFonts w:ascii="Arial" w:hAnsi="Arial" w:cs="Arial"/>
        </w:rPr>
      </w:pPr>
    </w:p>
    <w:p w:rsidR="00AF2AE2" w:rsidRDefault="00AF2AE2" w:rsidP="00AF2AE2">
      <w:pPr>
        <w:pStyle w:val="ListParagraph"/>
        <w:ind w:left="0" w:firstLine="720"/>
        <w:rPr>
          <w:rFonts w:ascii="Arial" w:hAnsi="Arial" w:cs="Arial"/>
        </w:rPr>
      </w:pPr>
    </w:p>
    <w:p w:rsidR="00AF61D6" w:rsidRDefault="00AF61D6" w:rsidP="00AF61D6">
      <w:pPr>
        <w:rPr>
          <w:rFonts w:ascii="Arial" w:hAnsi="Arial" w:cs="Arial"/>
        </w:rPr>
      </w:pPr>
    </w:p>
    <w:p w:rsidR="00B678C1" w:rsidRDefault="0062332E" w:rsidP="000C5542">
      <w:pPr>
        <w:rPr>
          <w:rFonts w:ascii="Arial" w:hAnsi="Arial"/>
        </w:rPr>
      </w:pPr>
      <w:r w:rsidRPr="0062332E">
        <w:rPr>
          <w:rFonts w:ascii="Arial" w:hAnsi="Arial"/>
          <w:b/>
          <w:u w:val="single"/>
        </w:rPr>
        <w:t>IMPORTANT</w:t>
      </w:r>
      <w:r>
        <w:rPr>
          <w:rFonts w:ascii="Arial" w:hAnsi="Arial"/>
        </w:rPr>
        <w:t xml:space="preserve"> – Once you have completed outreach on this topic, p</w:t>
      </w:r>
      <w:r w:rsidR="00B678C1">
        <w:rPr>
          <w:rFonts w:ascii="Arial" w:hAnsi="Arial"/>
        </w:rPr>
        <w:t xml:space="preserve">lease help us track the outreach you have done by </w:t>
      </w:r>
      <w:r w:rsidR="00C76A72">
        <w:rPr>
          <w:rFonts w:ascii="Arial" w:hAnsi="Arial"/>
        </w:rPr>
        <w:t>e</w:t>
      </w:r>
      <w:r w:rsidR="000C1FE4">
        <w:rPr>
          <w:rFonts w:ascii="Arial" w:hAnsi="Arial"/>
        </w:rPr>
        <w:t>ntering a PTRS record.</w:t>
      </w:r>
      <w:r>
        <w:rPr>
          <w:rFonts w:ascii="Arial" w:hAnsi="Arial"/>
        </w:rPr>
        <w:t xml:space="preserve">  </w:t>
      </w:r>
    </w:p>
    <w:p w:rsidR="000C1FE4" w:rsidRDefault="000C1FE4" w:rsidP="000C5542">
      <w:pPr>
        <w:rPr>
          <w:rFonts w:ascii="Arial" w:hAnsi="Arial"/>
        </w:rPr>
      </w:pPr>
    </w:p>
    <w:p w:rsidR="00123DB6" w:rsidRPr="008604CA" w:rsidRDefault="00123DB6" w:rsidP="00123DB6">
      <w:pPr>
        <w:rPr>
          <w:rFonts w:ascii="Arial" w:hAnsi="Arial" w:cs="Arial"/>
          <w:b/>
        </w:rPr>
      </w:pPr>
      <w:r w:rsidRPr="008604CA">
        <w:rPr>
          <w:rFonts w:ascii="Arial" w:hAnsi="Arial" w:cs="Arial"/>
          <w:b/>
        </w:rPr>
        <w:tab/>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8"/>
        <w:gridCol w:w="810"/>
        <w:gridCol w:w="810"/>
        <w:gridCol w:w="630"/>
        <w:gridCol w:w="2610"/>
        <w:gridCol w:w="1170"/>
        <w:gridCol w:w="990"/>
        <w:gridCol w:w="1440"/>
      </w:tblGrid>
      <w:tr w:rsidR="00123DB6" w:rsidTr="00252F6D">
        <w:tc>
          <w:tcPr>
            <w:tcW w:w="918" w:type="dxa"/>
          </w:tcPr>
          <w:p w:rsidR="00123DB6" w:rsidRDefault="00123DB6" w:rsidP="00252F6D">
            <w:pPr>
              <w:jc w:val="center"/>
              <w:rPr>
                <w:rFonts w:ascii="Arial" w:hAnsi="Arial"/>
              </w:rPr>
            </w:pPr>
            <w:r w:rsidRPr="00E60D85">
              <w:rPr>
                <w:rFonts w:ascii="Arial" w:hAnsi="Arial"/>
                <w:sz w:val="16"/>
              </w:rPr>
              <w:t>PTRS Activity Code</w:t>
            </w:r>
          </w:p>
        </w:tc>
        <w:tc>
          <w:tcPr>
            <w:tcW w:w="810" w:type="dxa"/>
          </w:tcPr>
          <w:p w:rsidR="00123DB6" w:rsidRDefault="00123DB6" w:rsidP="00252F6D">
            <w:pPr>
              <w:jc w:val="center"/>
              <w:rPr>
                <w:rFonts w:ascii="Arial" w:hAnsi="Arial"/>
              </w:rPr>
            </w:pPr>
            <w:r w:rsidRPr="00E60D85">
              <w:rPr>
                <w:rFonts w:ascii="Arial" w:hAnsi="Arial"/>
                <w:sz w:val="16"/>
              </w:rPr>
              <w:t>National Use</w:t>
            </w:r>
          </w:p>
        </w:tc>
        <w:tc>
          <w:tcPr>
            <w:tcW w:w="810" w:type="dxa"/>
          </w:tcPr>
          <w:p w:rsidR="00123DB6" w:rsidRDefault="00123DB6" w:rsidP="00252F6D">
            <w:pPr>
              <w:jc w:val="center"/>
              <w:rPr>
                <w:rFonts w:ascii="Arial" w:hAnsi="Arial"/>
              </w:rPr>
            </w:pPr>
            <w:r w:rsidRPr="00E60D85">
              <w:rPr>
                <w:rFonts w:ascii="Arial" w:hAnsi="Arial"/>
                <w:sz w:val="16"/>
              </w:rPr>
              <w:t>Primary Area</w:t>
            </w:r>
          </w:p>
        </w:tc>
        <w:tc>
          <w:tcPr>
            <w:tcW w:w="630" w:type="dxa"/>
          </w:tcPr>
          <w:p w:rsidR="00123DB6" w:rsidRDefault="00123DB6" w:rsidP="00252F6D">
            <w:pPr>
              <w:jc w:val="center"/>
              <w:rPr>
                <w:rFonts w:ascii="Arial" w:hAnsi="Arial"/>
              </w:rPr>
            </w:pPr>
            <w:r w:rsidRPr="00E60D85">
              <w:rPr>
                <w:rFonts w:ascii="Arial" w:hAnsi="Arial"/>
                <w:sz w:val="16"/>
              </w:rPr>
              <w:t>Key word</w:t>
            </w:r>
          </w:p>
        </w:tc>
        <w:tc>
          <w:tcPr>
            <w:tcW w:w="2610" w:type="dxa"/>
          </w:tcPr>
          <w:p w:rsidR="00123DB6" w:rsidRPr="00E60D85" w:rsidRDefault="00123DB6" w:rsidP="00252F6D">
            <w:pPr>
              <w:jc w:val="center"/>
              <w:rPr>
                <w:rFonts w:ascii="Arial" w:hAnsi="Arial"/>
                <w:sz w:val="16"/>
              </w:rPr>
            </w:pPr>
            <w:r w:rsidRPr="00E60D85">
              <w:rPr>
                <w:rFonts w:ascii="Arial" w:hAnsi="Arial"/>
                <w:sz w:val="16"/>
              </w:rPr>
              <w:t>Description</w:t>
            </w:r>
          </w:p>
        </w:tc>
        <w:tc>
          <w:tcPr>
            <w:tcW w:w="1170" w:type="dxa"/>
          </w:tcPr>
          <w:p w:rsidR="00123DB6" w:rsidRPr="00E60D85" w:rsidRDefault="00123DB6" w:rsidP="00252F6D">
            <w:pPr>
              <w:jc w:val="center"/>
              <w:rPr>
                <w:rFonts w:ascii="Arial" w:hAnsi="Arial"/>
                <w:sz w:val="16"/>
              </w:rPr>
            </w:pPr>
            <w:r>
              <w:rPr>
                <w:rFonts w:ascii="Arial" w:hAnsi="Arial"/>
                <w:sz w:val="16"/>
              </w:rPr>
              <w:t>Performance Target</w:t>
            </w:r>
          </w:p>
        </w:tc>
        <w:tc>
          <w:tcPr>
            <w:tcW w:w="990" w:type="dxa"/>
          </w:tcPr>
          <w:p w:rsidR="00123DB6" w:rsidRDefault="00123DB6" w:rsidP="00252F6D">
            <w:pPr>
              <w:jc w:val="center"/>
              <w:rPr>
                <w:rFonts w:ascii="Arial" w:hAnsi="Arial"/>
                <w:sz w:val="16"/>
              </w:rPr>
            </w:pPr>
            <w:r>
              <w:rPr>
                <w:rFonts w:ascii="Arial" w:hAnsi="Arial"/>
                <w:sz w:val="16"/>
              </w:rPr>
              <w:t>Due</w:t>
            </w:r>
          </w:p>
          <w:p w:rsidR="00123DB6" w:rsidRPr="00E60D85" w:rsidRDefault="00123DB6" w:rsidP="00252F6D">
            <w:pPr>
              <w:jc w:val="center"/>
              <w:rPr>
                <w:rFonts w:ascii="Arial" w:hAnsi="Arial"/>
                <w:sz w:val="16"/>
              </w:rPr>
            </w:pPr>
            <w:r>
              <w:rPr>
                <w:rFonts w:ascii="Arial" w:hAnsi="Arial"/>
                <w:sz w:val="16"/>
              </w:rPr>
              <w:t>Date</w:t>
            </w:r>
          </w:p>
        </w:tc>
        <w:tc>
          <w:tcPr>
            <w:tcW w:w="1440" w:type="dxa"/>
          </w:tcPr>
          <w:p w:rsidR="00123DB6" w:rsidRDefault="00123DB6" w:rsidP="00252F6D">
            <w:pPr>
              <w:jc w:val="center"/>
              <w:rPr>
                <w:rFonts w:ascii="Arial" w:hAnsi="Arial"/>
                <w:sz w:val="16"/>
              </w:rPr>
            </w:pPr>
            <w:r>
              <w:rPr>
                <w:rFonts w:ascii="Arial" w:hAnsi="Arial"/>
                <w:sz w:val="16"/>
              </w:rPr>
              <w:t>LDR</w:t>
            </w:r>
          </w:p>
          <w:p w:rsidR="00123DB6" w:rsidRPr="00E60D85" w:rsidRDefault="00123DB6" w:rsidP="00252F6D">
            <w:pPr>
              <w:jc w:val="center"/>
              <w:rPr>
                <w:rFonts w:ascii="Arial" w:hAnsi="Arial"/>
                <w:b/>
                <w:sz w:val="16"/>
              </w:rPr>
            </w:pPr>
            <w:r>
              <w:rPr>
                <w:rFonts w:ascii="Arial" w:hAnsi="Arial"/>
                <w:b/>
                <w:sz w:val="16"/>
              </w:rPr>
              <w:t>12XXFAAST</w:t>
            </w:r>
          </w:p>
        </w:tc>
      </w:tr>
      <w:tr w:rsidR="00123DB6" w:rsidTr="00252F6D">
        <w:tc>
          <w:tcPr>
            <w:tcW w:w="918" w:type="dxa"/>
          </w:tcPr>
          <w:p w:rsidR="00123DB6" w:rsidRPr="00E60D85" w:rsidRDefault="00123DB6" w:rsidP="00252F6D">
            <w:pPr>
              <w:jc w:val="center"/>
              <w:rPr>
                <w:rFonts w:ascii="Arial" w:hAnsi="Arial"/>
                <w:sz w:val="16"/>
              </w:rPr>
            </w:pPr>
            <w:r>
              <w:rPr>
                <w:rFonts w:ascii="Arial" w:hAnsi="Arial"/>
                <w:sz w:val="16"/>
              </w:rPr>
              <w:t>2685</w:t>
            </w:r>
          </w:p>
        </w:tc>
        <w:tc>
          <w:tcPr>
            <w:tcW w:w="810" w:type="dxa"/>
          </w:tcPr>
          <w:p w:rsidR="00123DB6" w:rsidRPr="00E60D85" w:rsidRDefault="00123DB6" w:rsidP="00252F6D">
            <w:pPr>
              <w:jc w:val="center"/>
              <w:rPr>
                <w:rFonts w:ascii="Arial" w:hAnsi="Arial"/>
                <w:sz w:val="16"/>
              </w:rPr>
            </w:pPr>
            <w:r>
              <w:rPr>
                <w:rFonts w:ascii="Arial" w:hAnsi="Arial"/>
                <w:sz w:val="16"/>
              </w:rPr>
              <w:t>NPP14</w:t>
            </w:r>
          </w:p>
        </w:tc>
        <w:tc>
          <w:tcPr>
            <w:tcW w:w="810" w:type="dxa"/>
          </w:tcPr>
          <w:p w:rsidR="00123DB6" w:rsidRPr="00E60D85" w:rsidRDefault="00123DB6" w:rsidP="00252F6D">
            <w:pPr>
              <w:jc w:val="center"/>
              <w:rPr>
                <w:rFonts w:ascii="Arial" w:hAnsi="Arial"/>
                <w:sz w:val="16"/>
              </w:rPr>
            </w:pPr>
            <w:r>
              <w:rPr>
                <w:rFonts w:ascii="Arial" w:hAnsi="Arial"/>
                <w:sz w:val="16"/>
              </w:rPr>
              <w:t>K</w:t>
            </w:r>
          </w:p>
        </w:tc>
        <w:tc>
          <w:tcPr>
            <w:tcW w:w="630" w:type="dxa"/>
          </w:tcPr>
          <w:p w:rsidR="00123DB6" w:rsidRPr="00E60D85" w:rsidRDefault="00123DB6" w:rsidP="00252F6D">
            <w:pPr>
              <w:jc w:val="center"/>
              <w:rPr>
                <w:rFonts w:ascii="Arial" w:hAnsi="Arial"/>
                <w:sz w:val="16"/>
              </w:rPr>
            </w:pPr>
            <w:r>
              <w:rPr>
                <w:rFonts w:ascii="Arial" w:hAnsi="Arial"/>
                <w:sz w:val="16"/>
              </w:rPr>
              <w:t>032</w:t>
            </w:r>
          </w:p>
        </w:tc>
        <w:tc>
          <w:tcPr>
            <w:tcW w:w="2610" w:type="dxa"/>
          </w:tcPr>
          <w:p w:rsidR="00123DB6" w:rsidRPr="00E60D85" w:rsidRDefault="00123DB6" w:rsidP="00252F6D">
            <w:pPr>
              <w:jc w:val="center"/>
              <w:rPr>
                <w:rFonts w:ascii="Arial" w:hAnsi="Arial"/>
                <w:sz w:val="16"/>
              </w:rPr>
            </w:pPr>
            <w:r>
              <w:rPr>
                <w:rFonts w:ascii="Arial" w:hAnsi="Arial"/>
                <w:sz w:val="16"/>
              </w:rPr>
              <w:t xml:space="preserve">Promote “Topic of the Month” </w:t>
            </w:r>
            <w:r>
              <w:rPr>
                <w:rFonts w:ascii="Arial" w:hAnsi="Arial"/>
                <w:sz w:val="16"/>
              </w:rPr>
              <w:lastRenderedPageBreak/>
              <w:t>within the FSDO area</w:t>
            </w:r>
          </w:p>
        </w:tc>
        <w:tc>
          <w:tcPr>
            <w:tcW w:w="1170" w:type="dxa"/>
          </w:tcPr>
          <w:p w:rsidR="00123DB6" w:rsidRPr="00E60D85" w:rsidRDefault="00123DB6" w:rsidP="00252F6D">
            <w:pPr>
              <w:jc w:val="center"/>
              <w:rPr>
                <w:rFonts w:ascii="Arial" w:hAnsi="Arial"/>
                <w:sz w:val="16"/>
              </w:rPr>
            </w:pPr>
            <w:r>
              <w:rPr>
                <w:rFonts w:ascii="Arial" w:hAnsi="Arial"/>
                <w:sz w:val="16"/>
              </w:rPr>
              <w:lastRenderedPageBreak/>
              <w:t xml:space="preserve">1 per FSDO </w:t>
            </w:r>
            <w:r>
              <w:rPr>
                <w:rFonts w:ascii="Arial" w:hAnsi="Arial"/>
                <w:sz w:val="16"/>
              </w:rPr>
              <w:lastRenderedPageBreak/>
              <w:t>per month</w:t>
            </w:r>
          </w:p>
        </w:tc>
        <w:tc>
          <w:tcPr>
            <w:tcW w:w="990" w:type="dxa"/>
          </w:tcPr>
          <w:p w:rsidR="00123DB6" w:rsidRPr="00E60D85" w:rsidRDefault="00123DB6" w:rsidP="00252F6D">
            <w:pPr>
              <w:jc w:val="center"/>
              <w:rPr>
                <w:rFonts w:ascii="Arial" w:hAnsi="Arial"/>
                <w:sz w:val="16"/>
              </w:rPr>
            </w:pPr>
            <w:r>
              <w:rPr>
                <w:rFonts w:ascii="Arial" w:hAnsi="Arial"/>
                <w:sz w:val="16"/>
              </w:rPr>
              <w:lastRenderedPageBreak/>
              <w:t>09/15/18</w:t>
            </w:r>
          </w:p>
        </w:tc>
        <w:tc>
          <w:tcPr>
            <w:tcW w:w="1440" w:type="dxa"/>
          </w:tcPr>
          <w:p w:rsidR="00123DB6" w:rsidRPr="00E60D85" w:rsidRDefault="00123DB6" w:rsidP="00252F6D">
            <w:pPr>
              <w:jc w:val="center"/>
              <w:rPr>
                <w:rFonts w:ascii="Arial" w:hAnsi="Arial"/>
                <w:sz w:val="16"/>
              </w:rPr>
            </w:pPr>
            <w:r>
              <w:rPr>
                <w:rFonts w:ascii="Arial" w:hAnsi="Arial"/>
                <w:sz w:val="16"/>
              </w:rPr>
              <w:t>OR0100</w:t>
            </w:r>
          </w:p>
        </w:tc>
      </w:tr>
    </w:tbl>
    <w:p w:rsidR="00123DB6" w:rsidRPr="00C76A72" w:rsidRDefault="00123DB6" w:rsidP="000C5542">
      <w:pPr>
        <w:rPr>
          <w:rFonts w:ascii="Arial" w:hAnsi="Arial"/>
        </w:rPr>
      </w:pPr>
    </w:p>
    <w:sectPr w:rsidR="00123DB6" w:rsidRPr="00C76A72" w:rsidSect="00804107">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DC" w:rsidRDefault="00D40EDC" w:rsidP="00283474">
      <w:r>
        <w:separator/>
      </w:r>
    </w:p>
  </w:endnote>
  <w:endnote w:type="continuationSeparator" w:id="0">
    <w:p w:rsidR="00D40EDC" w:rsidRDefault="00D40EDC" w:rsidP="0028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55" w:rsidRPr="00804107" w:rsidRDefault="001C6C55">
    <w:pPr>
      <w:pStyle w:val="Footer"/>
      <w:rPr>
        <w:rFonts w:ascii="Arial" w:hAnsi="Arial" w:cs="Arial"/>
        <w:sz w:val="20"/>
        <w:szCs w:val="20"/>
      </w:rPr>
    </w:pPr>
    <w:r w:rsidRPr="00804107">
      <w:rPr>
        <w:rFonts w:ascii="Arial" w:hAnsi="Arial" w:cs="Arial"/>
        <w:sz w:val="20"/>
        <w:szCs w:val="20"/>
      </w:rPr>
      <w:fldChar w:fldCharType="begin"/>
    </w:r>
    <w:r w:rsidRPr="00804107">
      <w:rPr>
        <w:rFonts w:ascii="Arial" w:hAnsi="Arial" w:cs="Arial"/>
        <w:sz w:val="20"/>
        <w:szCs w:val="20"/>
      </w:rPr>
      <w:instrText xml:space="preserve"> DATE \@ "M/d/yy" </w:instrText>
    </w:r>
    <w:r w:rsidRPr="00804107">
      <w:rPr>
        <w:rFonts w:ascii="Arial" w:hAnsi="Arial" w:cs="Arial"/>
        <w:sz w:val="20"/>
        <w:szCs w:val="20"/>
      </w:rPr>
      <w:fldChar w:fldCharType="separate"/>
    </w:r>
    <w:r w:rsidR="0030744C">
      <w:rPr>
        <w:rFonts w:ascii="Arial" w:hAnsi="Arial" w:cs="Arial"/>
        <w:noProof/>
        <w:sz w:val="20"/>
        <w:szCs w:val="20"/>
      </w:rPr>
      <w:t>5/25/17</w:t>
    </w:r>
    <w:r w:rsidRPr="00804107">
      <w:rPr>
        <w:rFonts w:ascii="Arial" w:hAnsi="Arial" w:cs="Arial"/>
        <w:sz w:val="20"/>
        <w:szCs w:val="20"/>
      </w:rPr>
      <w:fldChar w:fldCharType="end"/>
    </w:r>
    <w:r w:rsidRPr="00804107">
      <w:rPr>
        <w:rFonts w:ascii="Arial" w:hAnsi="Arial" w:cs="Arial"/>
        <w:sz w:val="20"/>
        <w:szCs w:val="20"/>
      </w:rPr>
      <w:tab/>
    </w:r>
    <w:r w:rsidRPr="00804107">
      <w:rPr>
        <w:rFonts w:ascii="Arial" w:hAnsi="Arial" w:cs="Arial"/>
        <w:sz w:val="20"/>
        <w:szCs w:val="20"/>
      </w:rPr>
      <w:tab/>
      <w:t xml:space="preserve">Page </w:t>
    </w:r>
    <w:r w:rsidRPr="00804107">
      <w:rPr>
        <w:rStyle w:val="PageNumber"/>
        <w:rFonts w:ascii="Arial" w:hAnsi="Arial" w:cs="Arial"/>
        <w:sz w:val="20"/>
        <w:szCs w:val="20"/>
      </w:rPr>
      <w:fldChar w:fldCharType="begin"/>
    </w:r>
    <w:r w:rsidRPr="00804107">
      <w:rPr>
        <w:rStyle w:val="PageNumber"/>
        <w:rFonts w:ascii="Arial" w:hAnsi="Arial" w:cs="Arial"/>
        <w:sz w:val="20"/>
        <w:szCs w:val="20"/>
      </w:rPr>
      <w:instrText xml:space="preserve"> PAGE </w:instrText>
    </w:r>
    <w:r w:rsidRPr="00804107">
      <w:rPr>
        <w:rStyle w:val="PageNumber"/>
        <w:rFonts w:ascii="Arial" w:hAnsi="Arial" w:cs="Arial"/>
        <w:sz w:val="20"/>
        <w:szCs w:val="20"/>
      </w:rPr>
      <w:fldChar w:fldCharType="separate"/>
    </w:r>
    <w:r w:rsidR="0030744C">
      <w:rPr>
        <w:rStyle w:val="PageNumber"/>
        <w:rFonts w:ascii="Arial" w:hAnsi="Arial" w:cs="Arial"/>
        <w:noProof/>
        <w:sz w:val="20"/>
        <w:szCs w:val="20"/>
      </w:rPr>
      <w:t>1</w:t>
    </w:r>
    <w:r w:rsidRPr="00804107">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DC" w:rsidRDefault="00D40EDC" w:rsidP="00283474">
      <w:r>
        <w:separator/>
      </w:r>
    </w:p>
  </w:footnote>
  <w:footnote w:type="continuationSeparator" w:id="0">
    <w:p w:rsidR="00D40EDC" w:rsidRDefault="00D40EDC" w:rsidP="00283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7503"/>
    <w:multiLevelType w:val="hybridMultilevel"/>
    <w:tmpl w:val="79D6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867FF"/>
    <w:multiLevelType w:val="multilevel"/>
    <w:tmpl w:val="02282E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DD5054"/>
    <w:multiLevelType w:val="hybridMultilevel"/>
    <w:tmpl w:val="B916F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F3F1FCB"/>
    <w:multiLevelType w:val="hybridMultilevel"/>
    <w:tmpl w:val="66BE0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17AD3"/>
    <w:multiLevelType w:val="hybridMultilevel"/>
    <w:tmpl w:val="3036E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9C3"/>
    <w:rsid w:val="000915B6"/>
    <w:rsid w:val="000A5C12"/>
    <w:rsid w:val="000B310E"/>
    <w:rsid w:val="000C1FE4"/>
    <w:rsid w:val="000C5542"/>
    <w:rsid w:val="00123DB6"/>
    <w:rsid w:val="001265A0"/>
    <w:rsid w:val="0014602A"/>
    <w:rsid w:val="001514DB"/>
    <w:rsid w:val="00156835"/>
    <w:rsid w:val="001C37C2"/>
    <w:rsid w:val="001C44D1"/>
    <w:rsid w:val="001C6C55"/>
    <w:rsid w:val="002309C3"/>
    <w:rsid w:val="002822C8"/>
    <w:rsid w:val="00283474"/>
    <w:rsid w:val="002C5EC8"/>
    <w:rsid w:val="002D0141"/>
    <w:rsid w:val="002D35EA"/>
    <w:rsid w:val="0030744C"/>
    <w:rsid w:val="0031306E"/>
    <w:rsid w:val="003404C9"/>
    <w:rsid w:val="00350164"/>
    <w:rsid w:val="0042558A"/>
    <w:rsid w:val="0043778A"/>
    <w:rsid w:val="004534BD"/>
    <w:rsid w:val="004550A5"/>
    <w:rsid w:val="00472922"/>
    <w:rsid w:val="00472EB2"/>
    <w:rsid w:val="004B6A68"/>
    <w:rsid w:val="004D0EB0"/>
    <w:rsid w:val="004D190E"/>
    <w:rsid w:val="004F2A87"/>
    <w:rsid w:val="00511A93"/>
    <w:rsid w:val="005559A3"/>
    <w:rsid w:val="00560A8C"/>
    <w:rsid w:val="00580B3C"/>
    <w:rsid w:val="00585ABD"/>
    <w:rsid w:val="00592FD7"/>
    <w:rsid w:val="00596C7F"/>
    <w:rsid w:val="005A30DA"/>
    <w:rsid w:val="005E62E4"/>
    <w:rsid w:val="0062332E"/>
    <w:rsid w:val="006D27FF"/>
    <w:rsid w:val="007130B2"/>
    <w:rsid w:val="00714427"/>
    <w:rsid w:val="00721856"/>
    <w:rsid w:val="00735AAE"/>
    <w:rsid w:val="0073681C"/>
    <w:rsid w:val="007761F8"/>
    <w:rsid w:val="00793BFD"/>
    <w:rsid w:val="007967D1"/>
    <w:rsid w:val="007A13E9"/>
    <w:rsid w:val="007C377E"/>
    <w:rsid w:val="00804107"/>
    <w:rsid w:val="00825CCB"/>
    <w:rsid w:val="008559E3"/>
    <w:rsid w:val="008604CA"/>
    <w:rsid w:val="00871717"/>
    <w:rsid w:val="008A318C"/>
    <w:rsid w:val="008E4092"/>
    <w:rsid w:val="00911BEC"/>
    <w:rsid w:val="009267D0"/>
    <w:rsid w:val="00944C0A"/>
    <w:rsid w:val="009B0AB7"/>
    <w:rsid w:val="009C19A5"/>
    <w:rsid w:val="00A56C4E"/>
    <w:rsid w:val="00A57662"/>
    <w:rsid w:val="00AA06EB"/>
    <w:rsid w:val="00AB5195"/>
    <w:rsid w:val="00AE2FC1"/>
    <w:rsid w:val="00AF2AE2"/>
    <w:rsid w:val="00AF5EA4"/>
    <w:rsid w:val="00AF61D6"/>
    <w:rsid w:val="00B27214"/>
    <w:rsid w:val="00B554C8"/>
    <w:rsid w:val="00B678C1"/>
    <w:rsid w:val="00B76CF1"/>
    <w:rsid w:val="00BB03AB"/>
    <w:rsid w:val="00BC2BE1"/>
    <w:rsid w:val="00BE2763"/>
    <w:rsid w:val="00BE2C55"/>
    <w:rsid w:val="00BE44C8"/>
    <w:rsid w:val="00C4520D"/>
    <w:rsid w:val="00C456D8"/>
    <w:rsid w:val="00C766C5"/>
    <w:rsid w:val="00C76A72"/>
    <w:rsid w:val="00CA677A"/>
    <w:rsid w:val="00D36F7F"/>
    <w:rsid w:val="00D40EDC"/>
    <w:rsid w:val="00D5455A"/>
    <w:rsid w:val="00D75DBE"/>
    <w:rsid w:val="00E03D8D"/>
    <w:rsid w:val="00E11A2C"/>
    <w:rsid w:val="00E810EF"/>
    <w:rsid w:val="00E90BBC"/>
    <w:rsid w:val="00E97C93"/>
    <w:rsid w:val="00EC62A6"/>
    <w:rsid w:val="00F15A07"/>
    <w:rsid w:val="00F235D0"/>
    <w:rsid w:val="00F25A7F"/>
    <w:rsid w:val="00F439C8"/>
    <w:rsid w:val="00F47759"/>
    <w:rsid w:val="00FA7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74"/>
    <w:pPr>
      <w:tabs>
        <w:tab w:val="center" w:pos="4320"/>
        <w:tab w:val="right" w:pos="8640"/>
      </w:tabs>
    </w:pPr>
  </w:style>
  <w:style w:type="character" w:customStyle="1" w:styleId="HeaderChar">
    <w:name w:val="Header Char"/>
    <w:basedOn w:val="DefaultParagraphFont"/>
    <w:link w:val="Header"/>
    <w:uiPriority w:val="99"/>
    <w:rsid w:val="00283474"/>
  </w:style>
  <w:style w:type="paragraph" w:styleId="Footer">
    <w:name w:val="footer"/>
    <w:basedOn w:val="Normal"/>
    <w:link w:val="FooterChar"/>
    <w:uiPriority w:val="99"/>
    <w:unhideWhenUsed/>
    <w:rsid w:val="00283474"/>
    <w:pPr>
      <w:tabs>
        <w:tab w:val="center" w:pos="4320"/>
        <w:tab w:val="right" w:pos="8640"/>
      </w:tabs>
    </w:pPr>
  </w:style>
  <w:style w:type="character" w:customStyle="1" w:styleId="FooterChar">
    <w:name w:val="Footer Char"/>
    <w:basedOn w:val="DefaultParagraphFont"/>
    <w:link w:val="Footer"/>
    <w:uiPriority w:val="99"/>
    <w:rsid w:val="00283474"/>
  </w:style>
  <w:style w:type="paragraph" w:styleId="ListParagraph">
    <w:name w:val="List Paragraph"/>
    <w:basedOn w:val="Normal"/>
    <w:uiPriority w:val="34"/>
    <w:qFormat/>
    <w:rsid w:val="00283474"/>
    <w:pPr>
      <w:ind w:left="720"/>
      <w:contextualSpacing/>
    </w:pPr>
  </w:style>
  <w:style w:type="character" w:styleId="PageNumber">
    <w:name w:val="page number"/>
    <w:basedOn w:val="DefaultParagraphFont"/>
    <w:uiPriority w:val="99"/>
    <w:semiHidden/>
    <w:unhideWhenUsed/>
    <w:rsid w:val="00804107"/>
  </w:style>
  <w:style w:type="paragraph" w:styleId="BalloonText">
    <w:name w:val="Balloon Text"/>
    <w:basedOn w:val="Normal"/>
    <w:link w:val="BalloonTextChar"/>
    <w:uiPriority w:val="99"/>
    <w:semiHidden/>
    <w:unhideWhenUsed/>
    <w:rsid w:val="00AA06EB"/>
    <w:rPr>
      <w:rFonts w:ascii="Tahoma" w:hAnsi="Tahoma" w:cs="Tahoma"/>
      <w:sz w:val="16"/>
      <w:szCs w:val="16"/>
    </w:rPr>
  </w:style>
  <w:style w:type="character" w:customStyle="1" w:styleId="BalloonTextChar">
    <w:name w:val="Balloon Text Char"/>
    <w:basedOn w:val="DefaultParagraphFont"/>
    <w:link w:val="BalloonText"/>
    <w:uiPriority w:val="99"/>
    <w:semiHidden/>
    <w:rsid w:val="00AA06EB"/>
    <w:rPr>
      <w:rFonts w:ascii="Tahoma" w:hAnsi="Tahoma" w:cs="Tahoma"/>
      <w:sz w:val="16"/>
      <w:szCs w:val="16"/>
    </w:rPr>
  </w:style>
  <w:style w:type="character" w:styleId="Hyperlink">
    <w:name w:val="Hyperlink"/>
    <w:basedOn w:val="DefaultParagraphFont"/>
    <w:uiPriority w:val="99"/>
    <w:unhideWhenUsed/>
    <w:rsid w:val="00F15A07"/>
    <w:rPr>
      <w:color w:val="0000FF" w:themeColor="hyperlink"/>
      <w:u w:val="single"/>
    </w:rPr>
  </w:style>
  <w:style w:type="character" w:styleId="FollowedHyperlink">
    <w:name w:val="FollowedHyperlink"/>
    <w:basedOn w:val="DefaultParagraphFont"/>
    <w:uiPriority w:val="99"/>
    <w:semiHidden/>
    <w:unhideWhenUsed/>
    <w:rsid w:val="00F15A07"/>
    <w:rPr>
      <w:color w:val="800080" w:themeColor="followedHyperlink"/>
      <w:u w:val="single"/>
    </w:rPr>
  </w:style>
  <w:style w:type="character" w:styleId="CommentReference">
    <w:name w:val="annotation reference"/>
    <w:basedOn w:val="DefaultParagraphFont"/>
    <w:uiPriority w:val="99"/>
    <w:semiHidden/>
    <w:unhideWhenUsed/>
    <w:rsid w:val="002822C8"/>
    <w:rPr>
      <w:sz w:val="18"/>
      <w:szCs w:val="18"/>
    </w:rPr>
  </w:style>
  <w:style w:type="paragraph" w:styleId="CommentText">
    <w:name w:val="annotation text"/>
    <w:basedOn w:val="Normal"/>
    <w:link w:val="CommentTextChar"/>
    <w:uiPriority w:val="99"/>
    <w:semiHidden/>
    <w:unhideWhenUsed/>
    <w:rsid w:val="002822C8"/>
  </w:style>
  <w:style w:type="character" w:customStyle="1" w:styleId="CommentTextChar">
    <w:name w:val="Comment Text Char"/>
    <w:basedOn w:val="DefaultParagraphFont"/>
    <w:link w:val="CommentText"/>
    <w:uiPriority w:val="99"/>
    <w:semiHidden/>
    <w:rsid w:val="002822C8"/>
  </w:style>
  <w:style w:type="paragraph" w:styleId="CommentSubject">
    <w:name w:val="annotation subject"/>
    <w:basedOn w:val="CommentText"/>
    <w:next w:val="CommentText"/>
    <w:link w:val="CommentSubjectChar"/>
    <w:uiPriority w:val="99"/>
    <w:semiHidden/>
    <w:unhideWhenUsed/>
    <w:rsid w:val="002822C8"/>
    <w:rPr>
      <w:b/>
      <w:bCs/>
      <w:sz w:val="20"/>
      <w:szCs w:val="20"/>
    </w:rPr>
  </w:style>
  <w:style w:type="character" w:customStyle="1" w:styleId="CommentSubjectChar">
    <w:name w:val="Comment Subject Char"/>
    <w:basedOn w:val="CommentTextChar"/>
    <w:link w:val="CommentSubject"/>
    <w:uiPriority w:val="99"/>
    <w:semiHidden/>
    <w:rsid w:val="002822C8"/>
    <w:rPr>
      <w:b/>
      <w:bCs/>
      <w:sz w:val="20"/>
      <w:szCs w:val="20"/>
    </w:rPr>
  </w:style>
  <w:style w:type="paragraph" w:customStyle="1" w:styleId="Default">
    <w:name w:val="Default"/>
    <w:rsid w:val="007C377E"/>
    <w:pPr>
      <w:autoSpaceDE w:val="0"/>
      <w:autoSpaceDN w:val="0"/>
      <w:adjustRightInd w:val="0"/>
    </w:pPr>
    <w:rPr>
      <w:rFonts w:ascii="Arial" w:hAnsi="Arial" w:cs="Arial"/>
      <w:color w:val="000000"/>
    </w:rPr>
  </w:style>
  <w:style w:type="character" w:styleId="HTMLCite">
    <w:name w:val="HTML Cite"/>
    <w:basedOn w:val="DefaultParagraphFont"/>
    <w:uiPriority w:val="99"/>
    <w:semiHidden/>
    <w:unhideWhenUsed/>
    <w:rsid w:val="00F25A7F"/>
    <w:rPr>
      <w:i/>
      <w:iCs/>
    </w:rPr>
  </w:style>
  <w:style w:type="table" w:styleId="TableGrid">
    <w:name w:val="Table Grid"/>
    <w:basedOn w:val="TableNormal"/>
    <w:uiPriority w:val="59"/>
    <w:rsid w:val="008E4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97833">
      <w:bodyDiv w:val="1"/>
      <w:marLeft w:val="0"/>
      <w:marRight w:val="0"/>
      <w:marTop w:val="0"/>
      <w:marBottom w:val="0"/>
      <w:divBdr>
        <w:top w:val="none" w:sz="0" w:space="0" w:color="auto"/>
        <w:left w:val="none" w:sz="0" w:space="0" w:color="auto"/>
        <w:bottom w:val="none" w:sz="0" w:space="0" w:color="auto"/>
        <w:right w:val="none" w:sz="0" w:space="0" w:color="auto"/>
      </w:divBdr>
    </w:div>
    <w:div w:id="1602949102">
      <w:bodyDiv w:val="1"/>
      <w:marLeft w:val="0"/>
      <w:marRight w:val="0"/>
      <w:marTop w:val="45"/>
      <w:marBottom w:val="0"/>
      <w:divBdr>
        <w:top w:val="none" w:sz="0" w:space="0" w:color="auto"/>
        <w:left w:val="none" w:sz="0" w:space="0" w:color="auto"/>
        <w:bottom w:val="none" w:sz="0" w:space="0" w:color="auto"/>
        <w:right w:val="none" w:sz="0" w:space="0" w:color="auto"/>
      </w:divBdr>
      <w:divsChild>
        <w:div w:id="884802756">
          <w:marLeft w:val="0"/>
          <w:marRight w:val="0"/>
          <w:marTop w:val="0"/>
          <w:marBottom w:val="0"/>
          <w:divBdr>
            <w:top w:val="none" w:sz="0" w:space="0" w:color="auto"/>
            <w:left w:val="none" w:sz="0" w:space="0" w:color="auto"/>
            <w:bottom w:val="none" w:sz="0" w:space="0" w:color="auto"/>
            <w:right w:val="none" w:sz="0" w:space="0" w:color="auto"/>
          </w:divBdr>
          <w:divsChild>
            <w:div w:id="1913353095">
              <w:marLeft w:val="0"/>
              <w:marRight w:val="0"/>
              <w:marTop w:val="0"/>
              <w:marBottom w:val="0"/>
              <w:divBdr>
                <w:top w:val="none" w:sz="0" w:space="0" w:color="auto"/>
                <w:left w:val="none" w:sz="0" w:space="0" w:color="auto"/>
                <w:bottom w:val="none" w:sz="0" w:space="0" w:color="auto"/>
                <w:right w:val="none" w:sz="0" w:space="0" w:color="auto"/>
              </w:divBdr>
              <w:divsChild>
                <w:div w:id="1907033772">
                  <w:marLeft w:val="0"/>
                  <w:marRight w:val="0"/>
                  <w:marTop w:val="0"/>
                  <w:marBottom w:val="0"/>
                  <w:divBdr>
                    <w:top w:val="none" w:sz="0" w:space="0" w:color="auto"/>
                    <w:left w:val="none" w:sz="0" w:space="0" w:color="auto"/>
                    <w:bottom w:val="none" w:sz="0" w:space="0" w:color="auto"/>
                    <w:right w:val="none" w:sz="0" w:space="0" w:color="auto"/>
                  </w:divBdr>
                  <w:divsChild>
                    <w:div w:id="1967925994">
                      <w:marLeft w:val="0"/>
                      <w:marRight w:val="0"/>
                      <w:marTop w:val="45"/>
                      <w:marBottom w:val="0"/>
                      <w:divBdr>
                        <w:top w:val="none" w:sz="0" w:space="0" w:color="auto"/>
                        <w:left w:val="none" w:sz="0" w:space="0" w:color="auto"/>
                        <w:bottom w:val="none" w:sz="0" w:space="0" w:color="auto"/>
                        <w:right w:val="none" w:sz="0" w:space="0" w:color="auto"/>
                      </w:divBdr>
                      <w:divsChild>
                        <w:div w:id="1241525017">
                          <w:marLeft w:val="0"/>
                          <w:marRight w:val="0"/>
                          <w:marTop w:val="0"/>
                          <w:marBottom w:val="0"/>
                          <w:divBdr>
                            <w:top w:val="none" w:sz="0" w:space="0" w:color="auto"/>
                            <w:left w:val="none" w:sz="0" w:space="0" w:color="auto"/>
                            <w:bottom w:val="none" w:sz="0" w:space="0" w:color="auto"/>
                            <w:right w:val="none" w:sz="0" w:space="0" w:color="auto"/>
                          </w:divBdr>
                          <w:divsChild>
                            <w:div w:id="1770351188">
                              <w:marLeft w:val="2070"/>
                              <w:marRight w:val="3960"/>
                              <w:marTop w:val="0"/>
                              <w:marBottom w:val="0"/>
                              <w:divBdr>
                                <w:top w:val="none" w:sz="0" w:space="0" w:color="auto"/>
                                <w:left w:val="none" w:sz="0" w:space="0" w:color="auto"/>
                                <w:bottom w:val="none" w:sz="0" w:space="0" w:color="auto"/>
                                <w:right w:val="none" w:sz="0" w:space="0" w:color="auto"/>
                              </w:divBdr>
                              <w:divsChild>
                                <w:div w:id="179852877">
                                  <w:marLeft w:val="0"/>
                                  <w:marRight w:val="0"/>
                                  <w:marTop w:val="0"/>
                                  <w:marBottom w:val="0"/>
                                  <w:divBdr>
                                    <w:top w:val="none" w:sz="0" w:space="0" w:color="auto"/>
                                    <w:left w:val="none" w:sz="0" w:space="0" w:color="auto"/>
                                    <w:bottom w:val="none" w:sz="0" w:space="0" w:color="auto"/>
                                    <w:right w:val="none" w:sz="0" w:space="0" w:color="auto"/>
                                  </w:divBdr>
                                  <w:divsChild>
                                    <w:div w:id="422654162">
                                      <w:marLeft w:val="0"/>
                                      <w:marRight w:val="0"/>
                                      <w:marTop w:val="0"/>
                                      <w:marBottom w:val="0"/>
                                      <w:divBdr>
                                        <w:top w:val="none" w:sz="0" w:space="0" w:color="auto"/>
                                        <w:left w:val="none" w:sz="0" w:space="0" w:color="auto"/>
                                        <w:bottom w:val="none" w:sz="0" w:space="0" w:color="auto"/>
                                        <w:right w:val="none" w:sz="0" w:space="0" w:color="auto"/>
                                      </w:divBdr>
                                      <w:divsChild>
                                        <w:div w:id="2050184989">
                                          <w:marLeft w:val="0"/>
                                          <w:marRight w:val="0"/>
                                          <w:marTop w:val="0"/>
                                          <w:marBottom w:val="0"/>
                                          <w:divBdr>
                                            <w:top w:val="none" w:sz="0" w:space="0" w:color="auto"/>
                                            <w:left w:val="none" w:sz="0" w:space="0" w:color="auto"/>
                                            <w:bottom w:val="none" w:sz="0" w:space="0" w:color="auto"/>
                                            <w:right w:val="none" w:sz="0" w:space="0" w:color="auto"/>
                                          </w:divBdr>
                                          <w:divsChild>
                                            <w:div w:id="1471365321">
                                              <w:marLeft w:val="0"/>
                                              <w:marRight w:val="0"/>
                                              <w:marTop w:val="0"/>
                                              <w:marBottom w:val="0"/>
                                              <w:divBdr>
                                                <w:top w:val="none" w:sz="0" w:space="0" w:color="auto"/>
                                                <w:left w:val="none" w:sz="0" w:space="0" w:color="auto"/>
                                                <w:bottom w:val="none" w:sz="0" w:space="0" w:color="auto"/>
                                                <w:right w:val="none" w:sz="0" w:space="0" w:color="auto"/>
                                              </w:divBdr>
                                              <w:divsChild>
                                                <w:div w:id="1526407319">
                                                  <w:marLeft w:val="0"/>
                                                  <w:marRight w:val="0"/>
                                                  <w:marTop w:val="0"/>
                                                  <w:marBottom w:val="0"/>
                                                  <w:divBdr>
                                                    <w:top w:val="none" w:sz="0" w:space="0" w:color="auto"/>
                                                    <w:left w:val="none" w:sz="0" w:space="0" w:color="auto"/>
                                                    <w:bottom w:val="none" w:sz="0" w:space="0" w:color="auto"/>
                                                    <w:right w:val="none" w:sz="0" w:space="0" w:color="auto"/>
                                                  </w:divBdr>
                                                  <w:divsChild>
                                                    <w:div w:id="1156914567">
                                                      <w:marLeft w:val="0"/>
                                                      <w:marRight w:val="0"/>
                                                      <w:marTop w:val="0"/>
                                                      <w:marBottom w:val="0"/>
                                                      <w:divBdr>
                                                        <w:top w:val="none" w:sz="0" w:space="0" w:color="auto"/>
                                                        <w:left w:val="none" w:sz="0" w:space="0" w:color="auto"/>
                                                        <w:bottom w:val="none" w:sz="0" w:space="0" w:color="auto"/>
                                                        <w:right w:val="none" w:sz="0" w:space="0" w:color="auto"/>
                                                      </w:divBdr>
                                                      <w:divsChild>
                                                        <w:div w:id="1845779317">
                                                          <w:marLeft w:val="0"/>
                                                          <w:marRight w:val="0"/>
                                                          <w:marTop w:val="0"/>
                                                          <w:marBottom w:val="0"/>
                                                          <w:divBdr>
                                                            <w:top w:val="none" w:sz="0" w:space="0" w:color="auto"/>
                                                            <w:left w:val="none" w:sz="0" w:space="0" w:color="auto"/>
                                                            <w:bottom w:val="none" w:sz="0" w:space="0" w:color="auto"/>
                                                            <w:right w:val="none" w:sz="0" w:space="0" w:color="auto"/>
                                                          </w:divBdr>
                                                          <w:divsChild>
                                                            <w:div w:id="73822719">
                                                              <w:marLeft w:val="0"/>
                                                              <w:marRight w:val="0"/>
                                                              <w:marTop w:val="0"/>
                                                              <w:marBottom w:val="0"/>
                                                              <w:divBdr>
                                                                <w:top w:val="none" w:sz="0" w:space="0" w:color="auto"/>
                                                                <w:left w:val="none" w:sz="0" w:space="0" w:color="auto"/>
                                                                <w:bottom w:val="none" w:sz="0" w:space="0" w:color="auto"/>
                                                                <w:right w:val="none" w:sz="0" w:space="0" w:color="auto"/>
                                                              </w:divBdr>
                                                              <w:divsChild>
                                                                <w:div w:id="2984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ajsc.org/document-center/"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vssp.faa.gov/avs/afsfaast/Pages/Approved-Resource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289566-cf42-4ce7-aa7c-2469c3d4502e">5YDFD77UPU3F-311-780</_dlc_DocId>
    <_dlc_DocIdUrl xmlns="04289566-cf42-4ce7-aa7c-2469c3d4502e">
      <Url>https://avssp.faa.gov/avs/afsfaast/_layouts/15/DocIdRedir.aspx?ID=5YDFD77UPU3F-311-780</Url>
      <Description>5YDFD77UPU3F-311-780</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FDB223F4C0E4A8408399FFA4EDA33" ma:contentTypeVersion="1" ma:contentTypeDescription="Create a new document." ma:contentTypeScope="" ma:versionID="8cf0604ad459b8fbe4c7c6e3c0a7056a">
  <xsd:schema xmlns:xsd="http://www.w3.org/2001/XMLSchema" xmlns:xs="http://www.w3.org/2001/XMLSchema" xmlns:p="http://schemas.microsoft.com/office/2006/metadata/properties" xmlns:ns2="04289566-cf42-4ce7-aa7c-2469c3d4502e" xmlns:ns3="http://schemas.microsoft.com/sharepoint/v4" targetNamespace="http://schemas.microsoft.com/office/2006/metadata/properties" ma:root="true" ma:fieldsID="c41c0327a79c0cd165a16d12bde6f1c8" ns2:_="" ns3:_="">
    <xsd:import namespace="04289566-cf42-4ce7-aa7c-2469c3d4502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89566-cf42-4ce7-aa7c-2469c3d450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A46-8112-412E-BD42-FE29CEE752E2}">
  <ds:schemaRefs>
    <ds:schemaRef ds:uri="http://schemas.microsoft.com/office/2006/metadata/properties"/>
    <ds:schemaRef ds:uri="http://schemas.microsoft.com/office/infopath/2007/PartnerControls"/>
    <ds:schemaRef ds:uri="428a51a3-9dcf-4c6f-9a55-61372affcb0a"/>
  </ds:schemaRefs>
</ds:datastoreItem>
</file>

<file path=customXml/itemProps2.xml><?xml version="1.0" encoding="utf-8"?>
<ds:datastoreItem xmlns:ds="http://schemas.openxmlformats.org/officeDocument/2006/customXml" ds:itemID="{6DB9F161-2E5D-49D7-98A2-7BD721D53931}">
  <ds:schemaRefs>
    <ds:schemaRef ds:uri="http://schemas.microsoft.com/sharepoint/events"/>
  </ds:schemaRefs>
</ds:datastoreItem>
</file>

<file path=customXml/itemProps3.xml><?xml version="1.0" encoding="utf-8"?>
<ds:datastoreItem xmlns:ds="http://schemas.openxmlformats.org/officeDocument/2006/customXml" ds:itemID="{A2977E98-824A-4756-9277-61EB3C7D4E99}">
  <ds:schemaRefs>
    <ds:schemaRef ds:uri="http://schemas.microsoft.com/sharepoint/v3/contenttype/forms"/>
  </ds:schemaRefs>
</ds:datastoreItem>
</file>

<file path=customXml/itemProps4.xml><?xml version="1.0" encoding="utf-8"?>
<ds:datastoreItem xmlns:ds="http://schemas.openxmlformats.org/officeDocument/2006/customXml" ds:itemID="{DBAC8248-BB98-46DB-B3EE-5565C1411240}"/>
</file>

<file path=docProps/app.xml><?xml version="1.0" encoding="utf-8"?>
<Properties xmlns="http://schemas.openxmlformats.org/officeDocument/2006/extended-properties" xmlns:vt="http://schemas.openxmlformats.org/officeDocument/2006/docPropsVTypes">
  <Template>Normal.dotm</Template>
  <TotalTime>81</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FAA/AVS</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February 2018 Maintenance Placards-Outreach Guidance</dc:title>
  <dc:creator>Kevin Clover</dc:creator>
  <cp:lastModifiedBy>AVS Enterprise</cp:lastModifiedBy>
  <cp:revision>19</cp:revision>
  <dcterms:created xsi:type="dcterms:W3CDTF">2015-05-04T21:36:00Z</dcterms:created>
  <dcterms:modified xsi:type="dcterms:W3CDTF">2017-05-25T11:54:00Z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0x010100DD5FDB223F4C0E4A8408399FFA4EDA33</vt:lpwstr>
  </property>
  <property fmtid="{D5CDD505-2E9C-101B-9397-08002B2CF9AE}" pid="3" name="_dlc_DocIdItemGuid">
    <vt:lpwstr>e6579333-14a2-4302-8c29-d4347b5136f8</vt:lpwstr>
  </property>
</Properties>
</file>