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8F11" w14:textId="77777777" w:rsidR="002309C3" w:rsidRPr="002309C3" w:rsidRDefault="00283474" w:rsidP="00A040E2">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651C8F14" w14:textId="1E345AE8" w:rsidR="002309C3" w:rsidRPr="0037762F" w:rsidRDefault="002309C3" w:rsidP="0037762F">
      <w:pPr>
        <w:jc w:val="center"/>
        <w:rPr>
          <w:rFonts w:ascii="Arial" w:hAnsi="Arial"/>
        </w:rPr>
      </w:pPr>
      <w:r w:rsidRPr="002309C3">
        <w:rPr>
          <w:rFonts w:ascii="Arial" w:hAnsi="Arial"/>
        </w:rPr>
        <w:t>Loss of Control Working Group</w:t>
      </w:r>
      <w:r w:rsidR="0037762F">
        <w:rPr>
          <w:rFonts w:ascii="Arial" w:hAnsi="Arial"/>
        </w:rPr>
        <w:br/>
      </w:r>
      <w:r w:rsidRPr="002309C3">
        <w:rPr>
          <w:rFonts w:ascii="Arial" w:hAnsi="Arial"/>
          <w:b/>
          <w:u w:val="single"/>
        </w:rPr>
        <w:t>Outreach Guidance Document</w:t>
      </w:r>
    </w:p>
    <w:p w14:paraId="24D8CD6B" w14:textId="6A1447D1" w:rsidR="00A040E2" w:rsidRDefault="005519F8" w:rsidP="005519F8">
      <w:pPr>
        <w:ind w:left="2880"/>
        <w:rPr>
          <w:rFonts w:ascii="Arial" w:hAnsi="Arial"/>
          <w:b/>
          <w:bCs/>
        </w:rPr>
      </w:pPr>
      <w:r>
        <w:rPr>
          <w:rFonts w:ascii="Arial" w:hAnsi="Arial"/>
          <w:b/>
          <w:bCs/>
        </w:rPr>
        <w:t xml:space="preserve">      </w:t>
      </w:r>
      <w:r w:rsidR="0037762F">
        <w:rPr>
          <w:rFonts w:ascii="Arial" w:hAnsi="Arial"/>
          <w:b/>
          <w:bCs/>
        </w:rPr>
        <w:t xml:space="preserve">  </w:t>
      </w:r>
      <w:r w:rsidR="00F3496D" w:rsidRPr="00F3496D">
        <w:rPr>
          <w:rFonts w:ascii="Arial" w:hAnsi="Arial"/>
          <w:b/>
          <w:bCs/>
        </w:rPr>
        <w:t>2019/06-07-20-1</w:t>
      </w:r>
      <w:r w:rsidR="00193770">
        <w:rPr>
          <w:rFonts w:ascii="Arial" w:hAnsi="Arial"/>
          <w:b/>
          <w:bCs/>
        </w:rPr>
        <w:t>6</w:t>
      </w:r>
      <w:r w:rsidR="00F3496D" w:rsidRPr="00F3496D">
        <w:rPr>
          <w:rFonts w:ascii="Arial" w:hAnsi="Arial"/>
          <w:b/>
          <w:bCs/>
        </w:rPr>
        <w:t>9(I)PP</w:t>
      </w:r>
    </w:p>
    <w:p w14:paraId="40D6B168" w14:textId="77777777" w:rsidR="005519F8" w:rsidRPr="00D43BD2" w:rsidRDefault="005519F8" w:rsidP="00A040E2">
      <w:pPr>
        <w:ind w:firstLine="720"/>
        <w:jc w:val="center"/>
        <w:rPr>
          <w:rFonts w:ascii="Arial" w:hAnsi="Arial"/>
          <w:b/>
        </w:rPr>
      </w:pPr>
    </w:p>
    <w:p w14:paraId="651C8F15" w14:textId="77777777" w:rsidR="002309C3" w:rsidRDefault="002309C3">
      <w:pPr>
        <w:rPr>
          <w:rFonts w:ascii="Arial" w:hAnsi="Arial"/>
        </w:rPr>
      </w:pPr>
    </w:p>
    <w:p w14:paraId="651C8F16"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651C8F17" w14:textId="77777777" w:rsidR="002309C3" w:rsidRDefault="002309C3">
      <w:pPr>
        <w:rPr>
          <w:rFonts w:ascii="Arial" w:hAnsi="Arial"/>
        </w:rPr>
      </w:pPr>
    </w:p>
    <w:p w14:paraId="651C8F18" w14:textId="387C093D"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37762F">
        <w:rPr>
          <w:rFonts w:ascii="Arial" w:hAnsi="Arial" w:cs="Arial"/>
          <w:b/>
        </w:rPr>
        <w:t>June</w:t>
      </w:r>
      <w:r w:rsidR="00193770">
        <w:rPr>
          <w:rFonts w:ascii="Arial" w:hAnsi="Arial" w:cs="Arial"/>
          <w:b/>
        </w:rPr>
        <w:t xml:space="preserve"> </w:t>
      </w:r>
      <w:r w:rsidR="00843FD7">
        <w:rPr>
          <w:rFonts w:ascii="Arial" w:hAnsi="Arial" w:cs="Arial"/>
          <w:b/>
        </w:rPr>
        <w:t>2020</w:t>
      </w:r>
    </w:p>
    <w:p w14:paraId="651C8F19" w14:textId="77777777" w:rsidR="0062332E" w:rsidRPr="00804107" w:rsidRDefault="0062332E" w:rsidP="00592FD7">
      <w:pPr>
        <w:spacing w:after="120"/>
        <w:rPr>
          <w:rFonts w:ascii="Arial" w:hAnsi="Arial" w:cs="Arial"/>
          <w:b/>
          <w:sz w:val="16"/>
          <w:szCs w:val="16"/>
        </w:rPr>
      </w:pPr>
    </w:p>
    <w:p w14:paraId="651C8F1A" w14:textId="6DE37B71"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37762F">
        <w:rPr>
          <w:rFonts w:ascii="Arial" w:hAnsi="Arial" w:cs="Arial"/>
          <w:b/>
        </w:rPr>
        <w:t>After-market Safety Equipment</w:t>
      </w:r>
      <w:r w:rsidR="00592FD7" w:rsidRPr="00592FD7">
        <w:rPr>
          <w:rFonts w:ascii="Arial" w:hAnsi="Arial" w:cs="Arial"/>
          <w:b/>
        </w:rPr>
        <w:t xml:space="preserve"> </w:t>
      </w:r>
      <w:r w:rsidR="006E0769">
        <w:rPr>
          <w:rFonts w:ascii="Arial" w:hAnsi="Arial" w:cs="Arial"/>
          <w:b/>
        </w:rPr>
        <w:t>– GAJSC SE 2, 22, 25, 37, 48, and 49</w:t>
      </w:r>
    </w:p>
    <w:p w14:paraId="651C8F1C" w14:textId="6D98E732" w:rsidR="00BE44C8" w:rsidRDefault="00B27214" w:rsidP="00BE44C8">
      <w:pPr>
        <w:rPr>
          <w:rFonts w:ascii="Arial" w:hAnsi="Arial" w:cs="Arial"/>
          <w:b/>
        </w:rPr>
      </w:pPr>
      <w:r w:rsidRPr="00B27214">
        <w:rPr>
          <w:rFonts w:ascii="Arial" w:hAnsi="Arial" w:cs="Arial"/>
        </w:rPr>
        <w:t xml:space="preserve">The FAA and industry will conduct a public education campaign emphasizing the </w:t>
      </w:r>
      <w:r w:rsidR="009348E7">
        <w:rPr>
          <w:rFonts w:ascii="Arial" w:hAnsi="Arial" w:cs="Arial"/>
        </w:rPr>
        <w:t>advantages of equipping with after-market safety equipment.</w:t>
      </w:r>
    </w:p>
    <w:p w14:paraId="651C8F1D" w14:textId="77777777" w:rsidR="00B27214" w:rsidRDefault="00B27214" w:rsidP="00BE44C8">
      <w:pPr>
        <w:rPr>
          <w:rFonts w:ascii="Arial" w:hAnsi="Arial" w:cs="Arial"/>
          <w:b/>
          <w:u w:val="single"/>
        </w:rPr>
      </w:pPr>
    </w:p>
    <w:p w14:paraId="651C8F1E" w14:textId="77777777" w:rsidR="00735AAE" w:rsidRDefault="00F15A07" w:rsidP="007B239D">
      <w:pPr>
        <w:rPr>
          <w:rFonts w:ascii="Arial" w:hAnsi="Arial" w:cs="Arial"/>
          <w:b/>
        </w:rPr>
      </w:pPr>
      <w:r w:rsidRPr="00BE44C8">
        <w:rPr>
          <w:rFonts w:ascii="Arial" w:hAnsi="Arial" w:cs="Arial"/>
          <w:b/>
          <w:u w:val="single"/>
        </w:rPr>
        <w:t>Background</w:t>
      </w:r>
      <w:r>
        <w:rPr>
          <w:rFonts w:ascii="Arial" w:hAnsi="Arial" w:cs="Arial"/>
          <w:b/>
        </w:rPr>
        <w:t xml:space="preserve">:  </w:t>
      </w:r>
    </w:p>
    <w:p w14:paraId="651C8F1F" w14:textId="77777777" w:rsidR="007B239D" w:rsidRDefault="007B239D" w:rsidP="007B239D">
      <w:pPr>
        <w:rPr>
          <w:rFonts w:ascii="Arial" w:hAnsi="Arial" w:cs="Arial"/>
          <w:b/>
        </w:rPr>
      </w:pPr>
    </w:p>
    <w:p w14:paraId="52561A8C" w14:textId="0F8A2F33" w:rsidR="0037762F" w:rsidRPr="007B239D" w:rsidRDefault="0037762F" w:rsidP="007B239D">
      <w:pPr>
        <w:rPr>
          <w:rFonts w:ascii="Arial" w:hAnsi="Arial" w:cs="Arial"/>
        </w:rPr>
      </w:pPr>
      <w:r>
        <w:rPr>
          <w:rFonts w:ascii="Arial" w:hAnsi="Arial" w:cs="Arial"/>
        </w:rPr>
        <w:t xml:space="preserve">The GAJSC feel that installation and use of after-market safety equipment can significantly reduce the likelihood of some general aviation accidents.  The committee are particularly interested in angle of attack indicators, engine monitoring equipment, enhanced and synthetic vision systems.  They also support reducing regulatory burdens on installation and certification of safety equipment installations. </w:t>
      </w:r>
    </w:p>
    <w:p w14:paraId="651C8F23" w14:textId="77777777" w:rsidR="00B27214" w:rsidRDefault="00B27214">
      <w:pPr>
        <w:rPr>
          <w:sz w:val="22"/>
          <w:szCs w:val="22"/>
        </w:rPr>
      </w:pPr>
    </w:p>
    <w:p w14:paraId="651C8F24" w14:textId="77777777" w:rsidR="00283474" w:rsidRPr="0062332E" w:rsidRDefault="0062332E">
      <w:pPr>
        <w:rPr>
          <w:rFonts w:ascii="Arial" w:hAnsi="Arial"/>
          <w:b/>
          <w:u w:val="single"/>
        </w:rPr>
      </w:pPr>
      <w:r w:rsidRPr="0062332E">
        <w:rPr>
          <w:rFonts w:ascii="Arial" w:hAnsi="Arial"/>
          <w:b/>
          <w:u w:val="single"/>
        </w:rPr>
        <w:t>Teaching Points:</w:t>
      </w:r>
    </w:p>
    <w:p w14:paraId="651C8F25" w14:textId="77777777" w:rsidR="0062332E" w:rsidRDefault="0062332E">
      <w:pPr>
        <w:rPr>
          <w:rFonts w:ascii="Arial" w:hAnsi="Arial"/>
        </w:rPr>
      </w:pPr>
    </w:p>
    <w:p w14:paraId="651C8F26" w14:textId="0838BDD4" w:rsidR="00592FD7" w:rsidRDefault="0037762F" w:rsidP="00592FD7">
      <w:pPr>
        <w:pStyle w:val="ListParagraph"/>
        <w:numPr>
          <w:ilvl w:val="0"/>
          <w:numId w:val="1"/>
        </w:numPr>
        <w:rPr>
          <w:rFonts w:ascii="Arial" w:hAnsi="Arial"/>
        </w:rPr>
      </w:pPr>
      <w:r>
        <w:rPr>
          <w:rFonts w:ascii="Arial" w:hAnsi="Arial"/>
        </w:rPr>
        <w:t>A number of technologies have proven useful in reducing the likelihood of general aviation accidents.</w:t>
      </w:r>
    </w:p>
    <w:p w14:paraId="03D729D0" w14:textId="2F8507BF" w:rsidR="0037762F" w:rsidRDefault="0037762F" w:rsidP="00592FD7">
      <w:pPr>
        <w:pStyle w:val="ListParagraph"/>
        <w:numPr>
          <w:ilvl w:val="0"/>
          <w:numId w:val="1"/>
        </w:numPr>
        <w:rPr>
          <w:rFonts w:ascii="Arial" w:hAnsi="Arial"/>
        </w:rPr>
      </w:pPr>
      <w:r>
        <w:rPr>
          <w:rFonts w:ascii="Arial" w:hAnsi="Arial"/>
        </w:rPr>
        <w:t>As with all technologies, pilots must be thoroughly familiar with limitations and proper operation of the equipment.</w:t>
      </w:r>
    </w:p>
    <w:p w14:paraId="651C8F27" w14:textId="62CB4946" w:rsidR="007B239D" w:rsidRDefault="0037762F" w:rsidP="00592FD7">
      <w:pPr>
        <w:pStyle w:val="ListParagraph"/>
        <w:numPr>
          <w:ilvl w:val="0"/>
          <w:numId w:val="1"/>
        </w:numPr>
        <w:rPr>
          <w:rFonts w:ascii="Arial" w:hAnsi="Arial"/>
        </w:rPr>
      </w:pPr>
      <w:r>
        <w:rPr>
          <w:rFonts w:ascii="Arial" w:hAnsi="Arial"/>
        </w:rPr>
        <w:t xml:space="preserve">FAA recognizes that reducing regulatory burden can result in increased safety equipment installation and use. </w:t>
      </w:r>
    </w:p>
    <w:p w14:paraId="651C8F28" w14:textId="4D05E43E" w:rsidR="00BE44C8" w:rsidRDefault="0037762F" w:rsidP="00BE44C8">
      <w:pPr>
        <w:pStyle w:val="ListParagraph"/>
        <w:numPr>
          <w:ilvl w:val="0"/>
          <w:numId w:val="1"/>
        </w:numPr>
        <w:rPr>
          <w:rFonts w:ascii="Arial" w:hAnsi="Arial"/>
        </w:rPr>
      </w:pPr>
      <w:r>
        <w:rPr>
          <w:rFonts w:ascii="Arial" w:hAnsi="Arial"/>
        </w:rPr>
        <w:t>Pilot proficiency is still the most profound influence on flight safety.</w:t>
      </w:r>
    </w:p>
    <w:p w14:paraId="651C8F2A" w14:textId="77777777" w:rsidR="00BE2763" w:rsidRDefault="00BE2763" w:rsidP="00BE2763">
      <w:pPr>
        <w:rPr>
          <w:rFonts w:ascii="Arial" w:hAnsi="Arial"/>
        </w:rPr>
      </w:pPr>
    </w:p>
    <w:p w14:paraId="651C8F2B" w14:textId="77777777" w:rsidR="002C5EC8" w:rsidRDefault="002C5EC8" w:rsidP="00BE2763">
      <w:pPr>
        <w:rPr>
          <w:rFonts w:ascii="Arial" w:hAnsi="Arial"/>
          <w:b/>
          <w:u w:val="single"/>
        </w:rPr>
      </w:pPr>
    </w:p>
    <w:p w14:paraId="651C8F2C" w14:textId="77777777" w:rsidR="00804107" w:rsidRPr="0062332E" w:rsidRDefault="00BE2763" w:rsidP="00BE2763">
      <w:pPr>
        <w:rPr>
          <w:rFonts w:ascii="Arial" w:hAnsi="Arial"/>
          <w:b/>
          <w:u w:val="single"/>
        </w:rPr>
      </w:pPr>
      <w:r w:rsidRPr="0062332E">
        <w:rPr>
          <w:rFonts w:ascii="Arial" w:hAnsi="Arial"/>
          <w:b/>
          <w:u w:val="single"/>
        </w:rPr>
        <w:t>References:</w:t>
      </w:r>
    </w:p>
    <w:p w14:paraId="651C8F2D" w14:textId="4D8F0ACE" w:rsidR="00BE2763" w:rsidRDefault="0037762F" w:rsidP="00BE2763">
      <w:pPr>
        <w:pStyle w:val="ListParagraph"/>
        <w:numPr>
          <w:ilvl w:val="0"/>
          <w:numId w:val="3"/>
        </w:numPr>
        <w:rPr>
          <w:rFonts w:ascii="Arial" w:hAnsi="Arial"/>
        </w:rPr>
      </w:pPr>
      <w:r w:rsidRPr="00FE666C">
        <w:rPr>
          <w:rFonts w:ascii="Arial" w:hAnsi="Arial"/>
          <w:b/>
          <w:bCs/>
          <w:iCs/>
        </w:rPr>
        <w:t>Press Release</w:t>
      </w:r>
      <w:r>
        <w:rPr>
          <w:rFonts w:ascii="Arial" w:hAnsi="Arial"/>
          <w:b/>
          <w:bCs/>
          <w:i/>
          <w:iCs/>
        </w:rPr>
        <w:t xml:space="preserve"> – FAA Clears Path for Installation of Angle of Attack Indicators in Small Aircraft</w:t>
      </w:r>
      <w:r w:rsidR="00FE666C">
        <w:rPr>
          <w:rFonts w:ascii="Arial" w:hAnsi="Arial"/>
          <w:b/>
          <w:bCs/>
          <w:i/>
          <w:iCs/>
        </w:rPr>
        <w:br/>
      </w:r>
    </w:p>
    <w:p w14:paraId="47572B43" w14:textId="1389BF86" w:rsidR="00F65854" w:rsidRPr="00FE666C" w:rsidRDefault="00573443" w:rsidP="00F65854">
      <w:pPr>
        <w:numPr>
          <w:ilvl w:val="1"/>
          <w:numId w:val="3"/>
        </w:numPr>
        <w:spacing w:after="345"/>
        <w:rPr>
          <w:rFonts w:ascii="Arial" w:hAnsi="Arial" w:cs="Arial"/>
        </w:rPr>
      </w:pPr>
      <w:hyperlink w:history="1">
        <w:r w:rsidR="00F65854" w:rsidRPr="00365474">
          <w:rPr>
            <w:rStyle w:val="Hyperlink"/>
            <w:rFonts w:ascii="Arial" w:hAnsi="Arial" w:cs="Arial"/>
          </w:rPr>
          <w:t>http://</w:t>
        </w:r>
      </w:hyperlink>
      <w:hyperlink r:id="rId12" w:history="1">
        <w:r w:rsidR="00F65854" w:rsidRPr="0037762F">
          <w:rPr>
            <w:rStyle w:val="Hyperlink"/>
            <w:rFonts w:ascii="Arial" w:hAnsi="Arial" w:cs="Arial"/>
          </w:rPr>
          <w:t>www.faa.gov/news/press_releases/news_story.cfm?newsid=15714</w:t>
        </w:r>
      </w:hyperlink>
    </w:p>
    <w:p w14:paraId="732E4DE4" w14:textId="77777777" w:rsidR="00FE666C" w:rsidRPr="00FE666C" w:rsidRDefault="00FE666C" w:rsidP="00FE666C">
      <w:pPr>
        <w:numPr>
          <w:ilvl w:val="0"/>
          <w:numId w:val="3"/>
        </w:numPr>
        <w:spacing w:after="345"/>
        <w:rPr>
          <w:rFonts w:ascii="Arial" w:hAnsi="Arial" w:cs="Arial"/>
        </w:rPr>
      </w:pPr>
      <w:r w:rsidRPr="00FE666C">
        <w:rPr>
          <w:rFonts w:ascii="Arial" w:hAnsi="Arial" w:cs="Arial"/>
          <w:b/>
          <w:lang w:val="en"/>
        </w:rPr>
        <w:t>GAJSC Documents and Reports</w:t>
      </w:r>
    </w:p>
    <w:p w14:paraId="12159559" w14:textId="34A3C7BF" w:rsidR="005519F8" w:rsidRPr="00FE666C" w:rsidRDefault="00573443" w:rsidP="00FE666C">
      <w:pPr>
        <w:numPr>
          <w:ilvl w:val="1"/>
          <w:numId w:val="3"/>
        </w:numPr>
        <w:spacing w:after="345"/>
        <w:rPr>
          <w:rFonts w:ascii="Arial" w:hAnsi="Arial" w:cs="Arial"/>
        </w:rPr>
      </w:pPr>
      <w:hyperlink r:id="rId13" w:history="1">
        <w:r w:rsidR="00FE666C" w:rsidRPr="00365474">
          <w:rPr>
            <w:rStyle w:val="Hyperlink"/>
          </w:rPr>
          <w:t>http://www.gajsc.org/document-center/</w:t>
        </w:r>
      </w:hyperlink>
    </w:p>
    <w:p w14:paraId="0F222995" w14:textId="77777777" w:rsidR="00FE666C" w:rsidRDefault="00FE666C" w:rsidP="00F25A7F">
      <w:pPr>
        <w:pStyle w:val="ListParagraph"/>
        <w:rPr>
          <w:rFonts w:ascii="Arial" w:hAnsi="Arial" w:cs="Arial"/>
        </w:rPr>
      </w:pPr>
    </w:p>
    <w:p w14:paraId="0FC9EB9F" w14:textId="77777777" w:rsidR="00B13952" w:rsidRDefault="0062332E" w:rsidP="000C5542">
      <w:pPr>
        <w:rPr>
          <w:rFonts w:ascii="Arial" w:hAnsi="Arial"/>
        </w:rPr>
      </w:pPr>
      <w:r w:rsidRPr="0062332E">
        <w:rPr>
          <w:rFonts w:ascii="Arial" w:hAnsi="Arial"/>
          <w:b/>
          <w:u w:val="single"/>
        </w:rPr>
        <w:lastRenderedPageBreak/>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651C8F34" w14:textId="4873712F" w:rsidR="00B678C1" w:rsidRDefault="0062332E" w:rsidP="000C5542">
      <w:pPr>
        <w:rPr>
          <w:rFonts w:ascii="Arial" w:hAnsi="Arial"/>
        </w:rPr>
      </w:pPr>
      <w:r>
        <w:rPr>
          <w:rFonts w:ascii="Arial" w:hAnsi="Arial"/>
        </w:rPr>
        <w:t xml:space="preserve"> </w:t>
      </w:r>
    </w:p>
    <w:p w14:paraId="651C8F35" w14:textId="49D05D60" w:rsidR="00D36F7F" w:rsidRDefault="00B13952" w:rsidP="000C5542">
      <w:pPr>
        <w:rPr>
          <w:rFonts w:ascii="Arial" w:hAnsi="Arial"/>
        </w:rPr>
      </w:pPr>
      <w:r>
        <w:rPr>
          <w:noProof/>
        </w:rPr>
        <w:drawing>
          <wp:inline distT="0" distB="0" distL="0" distR="0" wp14:anchorId="599B094F" wp14:editId="1FB8FBD0">
            <wp:extent cx="59436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28900"/>
                    </a:xfrm>
                    <a:prstGeom prst="rect">
                      <a:avLst/>
                    </a:prstGeom>
                  </pic:spPr>
                </pic:pic>
              </a:graphicData>
            </a:graphic>
          </wp:inline>
        </w:drawing>
      </w:r>
    </w:p>
    <w:p w14:paraId="651C8F36" w14:textId="77777777" w:rsidR="008604CA" w:rsidRPr="008604CA" w:rsidRDefault="008604CA" w:rsidP="008604CA">
      <w:pPr>
        <w:rPr>
          <w:rFonts w:ascii="Arial" w:hAnsi="Arial" w:cs="Arial"/>
          <w:b/>
        </w:rPr>
      </w:pPr>
      <w:r w:rsidRPr="008604CA">
        <w:rPr>
          <w:rFonts w:ascii="Arial" w:hAnsi="Arial" w:cs="Arial"/>
          <w:b/>
        </w:rPr>
        <w:tab/>
      </w:r>
    </w:p>
    <w:p w14:paraId="651C8F37" w14:textId="5EE00CE7" w:rsidR="000C1FE4" w:rsidRPr="00C76A72" w:rsidRDefault="000C1FE4" w:rsidP="000C5542">
      <w:pPr>
        <w:rPr>
          <w:rFonts w:ascii="Arial" w:hAnsi="Arial"/>
        </w:rPr>
      </w:pPr>
    </w:p>
    <w:sectPr w:rsidR="000C1FE4" w:rsidRPr="00C76A72" w:rsidSect="00804107">
      <w:headerReference w:type="even" r:id="rId15"/>
      <w:headerReference w:type="default" r:id="rId16"/>
      <w:footerReference w:type="even" r:id="rId17"/>
      <w:footerReference w:type="default" r:id="rId18"/>
      <w:headerReference w:type="first" r:id="rId19"/>
      <w:footerReference w:type="first" r:id="rId2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5353B" w14:textId="77777777" w:rsidR="00A81404" w:rsidRDefault="00A81404" w:rsidP="00283474">
      <w:r>
        <w:separator/>
      </w:r>
    </w:p>
  </w:endnote>
  <w:endnote w:type="continuationSeparator" w:id="0">
    <w:p w14:paraId="1CCF700D" w14:textId="77777777" w:rsidR="00A81404" w:rsidRDefault="00A81404"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0" w14:textId="77777777" w:rsidR="001C6C55" w:rsidRDefault="001C6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1" w14:textId="7811A773"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573443">
      <w:rPr>
        <w:rFonts w:ascii="Arial" w:hAnsi="Arial" w:cs="Arial"/>
        <w:noProof/>
        <w:sz w:val="20"/>
        <w:szCs w:val="20"/>
      </w:rPr>
      <w:t>5/26/20</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573443">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3" w14:textId="77777777" w:rsidR="001C6C55" w:rsidRDefault="001C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4EF9" w14:textId="77777777" w:rsidR="00A81404" w:rsidRDefault="00A81404" w:rsidP="00283474">
      <w:r>
        <w:separator/>
      </w:r>
    </w:p>
  </w:footnote>
  <w:footnote w:type="continuationSeparator" w:id="0">
    <w:p w14:paraId="2780CBEE" w14:textId="77777777" w:rsidR="00A81404" w:rsidRDefault="00A81404" w:rsidP="0028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3E" w14:textId="77777777" w:rsidR="001C6C55" w:rsidRDefault="001C6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3F" w14:textId="77777777" w:rsidR="001C6C55" w:rsidRDefault="001C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2" w14:textId="77777777" w:rsidR="001C6C55" w:rsidRDefault="001C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24F6B"/>
    <w:multiLevelType w:val="hybridMultilevel"/>
    <w:tmpl w:val="21147134"/>
    <w:lvl w:ilvl="0" w:tplc="78E2E7E0">
      <w:start w:val="1"/>
      <w:numFmt w:val="bullet"/>
      <w:lvlText w:val="•"/>
      <w:lvlJc w:val="left"/>
      <w:pPr>
        <w:tabs>
          <w:tab w:val="num" w:pos="720"/>
        </w:tabs>
        <w:ind w:left="720" w:hanging="360"/>
      </w:pPr>
      <w:rPr>
        <w:rFonts w:ascii="Times New Roman" w:hAnsi="Times New Roman" w:hint="default"/>
      </w:rPr>
    </w:lvl>
    <w:lvl w:ilvl="1" w:tplc="2B8015DE" w:tentative="1">
      <w:start w:val="1"/>
      <w:numFmt w:val="bullet"/>
      <w:lvlText w:val="•"/>
      <w:lvlJc w:val="left"/>
      <w:pPr>
        <w:tabs>
          <w:tab w:val="num" w:pos="1440"/>
        </w:tabs>
        <w:ind w:left="1440" w:hanging="360"/>
      </w:pPr>
      <w:rPr>
        <w:rFonts w:ascii="Times New Roman" w:hAnsi="Times New Roman" w:hint="default"/>
      </w:rPr>
    </w:lvl>
    <w:lvl w:ilvl="2" w:tplc="6368F2BC" w:tentative="1">
      <w:start w:val="1"/>
      <w:numFmt w:val="bullet"/>
      <w:lvlText w:val="•"/>
      <w:lvlJc w:val="left"/>
      <w:pPr>
        <w:tabs>
          <w:tab w:val="num" w:pos="2160"/>
        </w:tabs>
        <w:ind w:left="2160" w:hanging="360"/>
      </w:pPr>
      <w:rPr>
        <w:rFonts w:ascii="Times New Roman" w:hAnsi="Times New Roman" w:hint="default"/>
      </w:rPr>
    </w:lvl>
    <w:lvl w:ilvl="3" w:tplc="B29A5B06" w:tentative="1">
      <w:start w:val="1"/>
      <w:numFmt w:val="bullet"/>
      <w:lvlText w:val="•"/>
      <w:lvlJc w:val="left"/>
      <w:pPr>
        <w:tabs>
          <w:tab w:val="num" w:pos="2880"/>
        </w:tabs>
        <w:ind w:left="2880" w:hanging="360"/>
      </w:pPr>
      <w:rPr>
        <w:rFonts w:ascii="Times New Roman" w:hAnsi="Times New Roman" w:hint="default"/>
      </w:rPr>
    </w:lvl>
    <w:lvl w:ilvl="4" w:tplc="87622626" w:tentative="1">
      <w:start w:val="1"/>
      <w:numFmt w:val="bullet"/>
      <w:lvlText w:val="•"/>
      <w:lvlJc w:val="left"/>
      <w:pPr>
        <w:tabs>
          <w:tab w:val="num" w:pos="3600"/>
        </w:tabs>
        <w:ind w:left="3600" w:hanging="360"/>
      </w:pPr>
      <w:rPr>
        <w:rFonts w:ascii="Times New Roman" w:hAnsi="Times New Roman" w:hint="default"/>
      </w:rPr>
    </w:lvl>
    <w:lvl w:ilvl="5" w:tplc="F17EF0B2" w:tentative="1">
      <w:start w:val="1"/>
      <w:numFmt w:val="bullet"/>
      <w:lvlText w:val="•"/>
      <w:lvlJc w:val="left"/>
      <w:pPr>
        <w:tabs>
          <w:tab w:val="num" w:pos="4320"/>
        </w:tabs>
        <w:ind w:left="4320" w:hanging="360"/>
      </w:pPr>
      <w:rPr>
        <w:rFonts w:ascii="Times New Roman" w:hAnsi="Times New Roman" w:hint="default"/>
      </w:rPr>
    </w:lvl>
    <w:lvl w:ilvl="6" w:tplc="8EBAFB72" w:tentative="1">
      <w:start w:val="1"/>
      <w:numFmt w:val="bullet"/>
      <w:lvlText w:val="•"/>
      <w:lvlJc w:val="left"/>
      <w:pPr>
        <w:tabs>
          <w:tab w:val="num" w:pos="5040"/>
        </w:tabs>
        <w:ind w:left="5040" w:hanging="360"/>
      </w:pPr>
      <w:rPr>
        <w:rFonts w:ascii="Times New Roman" w:hAnsi="Times New Roman" w:hint="default"/>
      </w:rPr>
    </w:lvl>
    <w:lvl w:ilvl="7" w:tplc="102EF316" w:tentative="1">
      <w:start w:val="1"/>
      <w:numFmt w:val="bullet"/>
      <w:lvlText w:val="•"/>
      <w:lvlJc w:val="left"/>
      <w:pPr>
        <w:tabs>
          <w:tab w:val="num" w:pos="5760"/>
        </w:tabs>
        <w:ind w:left="5760" w:hanging="360"/>
      </w:pPr>
      <w:rPr>
        <w:rFonts w:ascii="Times New Roman" w:hAnsi="Times New Roman" w:hint="default"/>
      </w:rPr>
    </w:lvl>
    <w:lvl w:ilvl="8" w:tplc="2216F1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D17AD3"/>
    <w:multiLevelType w:val="hybridMultilevel"/>
    <w:tmpl w:val="AF20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C3"/>
    <w:rsid w:val="000915B6"/>
    <w:rsid w:val="000B310E"/>
    <w:rsid w:val="000C1FE4"/>
    <w:rsid w:val="000C5542"/>
    <w:rsid w:val="001265A0"/>
    <w:rsid w:val="001356B6"/>
    <w:rsid w:val="001514DB"/>
    <w:rsid w:val="00156835"/>
    <w:rsid w:val="00193770"/>
    <w:rsid w:val="001C37C2"/>
    <w:rsid w:val="001C44D1"/>
    <w:rsid w:val="001C6C55"/>
    <w:rsid w:val="001E2D0C"/>
    <w:rsid w:val="001F7808"/>
    <w:rsid w:val="002309C3"/>
    <w:rsid w:val="002344D9"/>
    <w:rsid w:val="00256E5D"/>
    <w:rsid w:val="002822C8"/>
    <w:rsid w:val="0028231D"/>
    <w:rsid w:val="00283474"/>
    <w:rsid w:val="002C5EC8"/>
    <w:rsid w:val="0031306E"/>
    <w:rsid w:val="003404C9"/>
    <w:rsid w:val="00371282"/>
    <w:rsid w:val="0037762F"/>
    <w:rsid w:val="00397710"/>
    <w:rsid w:val="003B3FF3"/>
    <w:rsid w:val="0042558A"/>
    <w:rsid w:val="0043778A"/>
    <w:rsid w:val="004534BD"/>
    <w:rsid w:val="004550A5"/>
    <w:rsid w:val="00474E3F"/>
    <w:rsid w:val="004D190E"/>
    <w:rsid w:val="004F2A87"/>
    <w:rsid w:val="00501422"/>
    <w:rsid w:val="00547D66"/>
    <w:rsid w:val="005519F8"/>
    <w:rsid w:val="005559A3"/>
    <w:rsid w:val="00573443"/>
    <w:rsid w:val="00580B3C"/>
    <w:rsid w:val="00585ABD"/>
    <w:rsid w:val="00585C97"/>
    <w:rsid w:val="00592FD7"/>
    <w:rsid w:val="005937AA"/>
    <w:rsid w:val="00596C7F"/>
    <w:rsid w:val="005A30DA"/>
    <w:rsid w:val="005E62E4"/>
    <w:rsid w:val="0060564B"/>
    <w:rsid w:val="0062332E"/>
    <w:rsid w:val="00637300"/>
    <w:rsid w:val="00652F0C"/>
    <w:rsid w:val="006B0ECC"/>
    <w:rsid w:val="006D27FF"/>
    <w:rsid w:val="006E0769"/>
    <w:rsid w:val="00714427"/>
    <w:rsid w:val="00721856"/>
    <w:rsid w:val="00735AAE"/>
    <w:rsid w:val="0073681C"/>
    <w:rsid w:val="007761F8"/>
    <w:rsid w:val="007967D1"/>
    <w:rsid w:val="007A13E9"/>
    <w:rsid w:val="007B239D"/>
    <w:rsid w:val="007C377E"/>
    <w:rsid w:val="00804107"/>
    <w:rsid w:val="00843FD7"/>
    <w:rsid w:val="008559E3"/>
    <w:rsid w:val="008604CA"/>
    <w:rsid w:val="00882621"/>
    <w:rsid w:val="008A318C"/>
    <w:rsid w:val="008A3921"/>
    <w:rsid w:val="00911BEC"/>
    <w:rsid w:val="009348E7"/>
    <w:rsid w:val="009B0AB7"/>
    <w:rsid w:val="009B567A"/>
    <w:rsid w:val="009C19A5"/>
    <w:rsid w:val="00A040E2"/>
    <w:rsid w:val="00A56C4E"/>
    <w:rsid w:val="00A81404"/>
    <w:rsid w:val="00AA06EB"/>
    <w:rsid w:val="00AF5EA4"/>
    <w:rsid w:val="00B061D9"/>
    <w:rsid w:val="00B13952"/>
    <w:rsid w:val="00B27214"/>
    <w:rsid w:val="00B554C8"/>
    <w:rsid w:val="00B678C1"/>
    <w:rsid w:val="00B76CF1"/>
    <w:rsid w:val="00BB03AB"/>
    <w:rsid w:val="00BC2BE1"/>
    <w:rsid w:val="00BE2763"/>
    <w:rsid w:val="00BE2C55"/>
    <w:rsid w:val="00BE44C8"/>
    <w:rsid w:val="00C4520D"/>
    <w:rsid w:val="00C456D8"/>
    <w:rsid w:val="00C73361"/>
    <w:rsid w:val="00C74D4F"/>
    <w:rsid w:val="00C766C5"/>
    <w:rsid w:val="00C76A72"/>
    <w:rsid w:val="00C95315"/>
    <w:rsid w:val="00D36F7F"/>
    <w:rsid w:val="00D43BD2"/>
    <w:rsid w:val="00D5455A"/>
    <w:rsid w:val="00D80376"/>
    <w:rsid w:val="00DD211B"/>
    <w:rsid w:val="00DF1666"/>
    <w:rsid w:val="00E03D8D"/>
    <w:rsid w:val="00E11A2C"/>
    <w:rsid w:val="00E860DB"/>
    <w:rsid w:val="00E86C24"/>
    <w:rsid w:val="00E90BBC"/>
    <w:rsid w:val="00EC62A6"/>
    <w:rsid w:val="00EF4ACC"/>
    <w:rsid w:val="00F15A07"/>
    <w:rsid w:val="00F235D0"/>
    <w:rsid w:val="00F25A7F"/>
    <w:rsid w:val="00F3496D"/>
    <w:rsid w:val="00F47759"/>
    <w:rsid w:val="00F65854"/>
    <w:rsid w:val="00FA7FE4"/>
    <w:rsid w:val="00FE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C8F11"/>
  <w14:defaultImageDpi w14:val="300"/>
  <w15:docId w15:val="{441879C2-3236-4C92-B675-CD59BA31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5463">
      <w:bodyDiv w:val="1"/>
      <w:marLeft w:val="0"/>
      <w:marRight w:val="0"/>
      <w:marTop w:val="0"/>
      <w:marBottom w:val="0"/>
      <w:divBdr>
        <w:top w:val="none" w:sz="0" w:space="0" w:color="auto"/>
        <w:left w:val="none" w:sz="0" w:space="0" w:color="auto"/>
        <w:bottom w:val="none" w:sz="0" w:space="0" w:color="auto"/>
        <w:right w:val="none" w:sz="0" w:space="0" w:color="auto"/>
      </w:divBdr>
      <w:divsChild>
        <w:div w:id="1292856699">
          <w:marLeft w:val="0"/>
          <w:marRight w:val="0"/>
          <w:marTop w:val="216"/>
          <w:marBottom w:val="0"/>
          <w:divBdr>
            <w:top w:val="none" w:sz="0" w:space="0" w:color="auto"/>
            <w:left w:val="none" w:sz="0" w:space="0" w:color="auto"/>
            <w:bottom w:val="none" w:sz="0" w:space="0" w:color="auto"/>
            <w:right w:val="none" w:sz="0" w:space="0" w:color="auto"/>
          </w:divBdr>
        </w:div>
      </w:divsChild>
    </w:div>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9080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jsc.org/document-cent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aa.gov/news/press_releases/news_story.cfm?newsid=157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5YDFD77UPU3F-311-1591</_dlc_DocId>
    <_dlc_DocIdUrl xmlns="04289566-cf42-4ce7-aa7c-2469c3d4502e">
      <Url>https://avssp.faa.gov/avs/afsfaast/_layouts/15/DocIdRedir.aspx?ID=5YDFD77UPU3F-311-1591</Url>
      <Description>5YDFD77UPU3F-311-1591</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2.xml><?xml version="1.0" encoding="utf-8"?>
<ds:datastoreItem xmlns:ds="http://schemas.openxmlformats.org/officeDocument/2006/customXml" ds:itemID="{71F45A46-8112-412E-BD42-FE29CEE752E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4289566-cf42-4ce7-aa7c-2469c3d4502e"/>
    <ds:schemaRef ds:uri="http://schemas.microsoft.com/sharepoint/v4"/>
    <ds:schemaRef ds:uri="http://www.w3.org/XML/1998/namespace"/>
  </ds:schemaRefs>
</ds:datastoreItem>
</file>

<file path=customXml/itemProps3.xml><?xml version="1.0" encoding="utf-8"?>
<ds:datastoreItem xmlns:ds="http://schemas.openxmlformats.org/officeDocument/2006/customXml" ds:itemID="{7F3BEBA2-B3ED-4B6B-B69F-91FE8AB33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5.xml><?xml version="1.0" encoding="utf-8"?>
<ds:datastoreItem xmlns:ds="http://schemas.openxmlformats.org/officeDocument/2006/customXml" ds:itemID="{974A5BDC-DEB9-48DC-AA90-E2F0ECCC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After-market Safety Equipment</vt:lpstr>
    </vt:vector>
  </TitlesOfParts>
  <Company>FAA/AVS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After-market Safety Equipment</dc:title>
  <dc:creator>Kevin Clover</dc:creator>
  <cp:lastModifiedBy>Tompkins, Craig (FAA)</cp:lastModifiedBy>
  <cp:revision>2</cp:revision>
  <dcterms:created xsi:type="dcterms:W3CDTF">2020-05-26T15:54:00Z</dcterms:created>
  <dcterms:modified xsi:type="dcterms:W3CDTF">2020-05-26T15:54:00Z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0262ea9b-e048-408c-a456-90cc09abad09</vt:lpwstr>
  </property>
</Properties>
</file>